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建设工程规划许可（县级权限）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【000115133005】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建设工程、临时建设工程规划许可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00011513300Y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建设工程规划许可（县级权限）【000115133005】</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（1）建设工程规划许可办理(00011513300501)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（2）建设工程规划许可变更(00011513300502)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（3）建设工程规划许可延期(00011513300503)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（4）建设工程规划许可注销(00011513300504)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《中华人民共和国城乡规划法》第四十四条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w:t>
      </w:r>
      <w:r>
        <w:rPr>
          <w:rFonts w:hint="eastAsia" w:ascii="仿宋_GB2312" w:hAnsi="仿宋_GB2312" w:eastAsia="仿宋_GB2312" w:cs="仿宋_GB2312"/>
          <w:strike w:val="0"/>
          <w:dstrike w:val="0"/>
          <w:sz w:val="32"/>
          <w:szCs w:val="32"/>
          <w:lang w:val="en-US" w:eastAsia="zh-CN"/>
        </w:rPr>
        <w:t>中华人民共和国</w:t>
      </w:r>
      <w:r>
        <w:rPr>
          <w:rFonts w:hint="eastAsia" w:ascii="仿宋_GB2312" w:hAnsi="仿宋_GB2312" w:eastAsia="仿宋_GB2312" w:cs="仿宋_GB2312"/>
          <w:b w:val="0"/>
          <w:bCs w:val="0"/>
          <w:strike w:val="0"/>
          <w:dstrike w:val="0"/>
          <w:color w:val="auto"/>
          <w:sz w:val="32"/>
          <w:szCs w:val="32"/>
          <w:lang w:val="en-US" w:eastAsia="zh-CN"/>
        </w:rPr>
        <w:t>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strike w:val="0"/>
          <w:dstrike w:val="0"/>
          <w:sz w:val="32"/>
          <w:szCs w:val="32"/>
          <w:lang w:val="en-US" w:eastAsia="zh-CN"/>
        </w:rPr>
        <w:t>中华人民共和国</w:t>
      </w:r>
      <w:r>
        <w:rPr>
          <w:rFonts w:hint="eastAsia" w:ascii="仿宋_GB2312" w:hAnsi="仿宋_GB2312" w:eastAsia="仿宋_GB2312" w:cs="仿宋_GB2312"/>
          <w:b w:val="0"/>
          <w:bCs w:val="0"/>
          <w:strike w:val="0"/>
          <w:dstrike w:val="0"/>
          <w:color w:val="auto"/>
          <w:sz w:val="32"/>
          <w:szCs w:val="32"/>
          <w:lang w:val="en-US" w:eastAsia="zh-CN"/>
        </w:rPr>
        <w:t>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（3）《中华人民共和国城乡规划法》第六十四条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临沧市凤庆县自然资源局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无对应政务服务事项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城市、县人民政府城乡规划主管部门或者省、自治区、直辖市人民政府确定的镇人民政府应当依法将经审定的修建性详细规划、建设工程设计方案的总平面图予以公布。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城市、县人民政府城乡规划主管部门或者省、自治区、直辖市人民政府确定的镇人民政府应当依法将经审定的修建性详细规划、建设工程设计方案的总平面图予以公布。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（3）审批机构审查。涉及需进行现场勘验、专家评审、听证、委托服务机构开展技术性服务的，按有关规定组织实施；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建设工程规划许可证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1年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default" w:ascii="仿宋_GB2312" w:hAnsi="仿宋_GB2312" w:eastAsia="仿宋_GB2312" w:cs="仿宋_GB2312"/>
          <w:b/>
          <w:bCs/>
          <w:strike w:val="0"/>
          <w:dstrike w:val="0"/>
          <w:color w:val="auto"/>
          <w:sz w:val="32"/>
          <w:szCs w:val="32"/>
          <w:lang w:val="en" w:eastAsia="zh-CN"/>
        </w:rPr>
        <w:t>:</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临沧市凤庆县自然资源局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1.地方自然资源主管部门自行制定完善规划核实、放线验线等管理规程。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支持地方在已有探索成果基础上，巩固深化用地审批与规划许可融合管理成果。深化“带方案出让”土地制度，合理确定适用项目类型，在取得土地使用权后，可直接核发建设工程规划许可证；对于符合条件的建设项目，可“一次申请、合并办理”建设用地规划许可证和建设工程规划许可证；推行告知承诺制，通过“事前承诺、事后监管”，进一步提升审批效率；可结合地方管理实际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156C2845"/>
    <w:rsid w:val="22A43210"/>
    <w:rsid w:val="22A538B2"/>
    <w:rsid w:val="2A690FE4"/>
    <w:rsid w:val="45381F81"/>
    <w:rsid w:val="4A1947CF"/>
    <w:rsid w:val="5AE30C76"/>
    <w:rsid w:val="631D67B1"/>
    <w:rsid w:val="76601F15"/>
    <w:rsid w:val="B7FFA415"/>
    <w:rsid w:val="EE4772A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罗金海</cp:lastModifiedBy>
  <dcterms:modified xsi:type="dcterms:W3CDTF">2024-01-31T09:42:03Z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AB4D546D02D44CFF94929CE8095682F3_12</vt:lpwstr>
  </property>
</Properties>
</file>