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spacing w:line="560" w:lineRule="exact"/>
        <w:jc w:val="both"/>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凤庆县人民政府（盖章）</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10</w:t>
      </w:r>
      <w:r>
        <w:rPr>
          <w:rFonts w:hint="eastAsia" w:eastAsia="方正仿宋_GBK"/>
          <w:sz w:val="32"/>
          <w:szCs w:val="32"/>
        </w:rPr>
        <w:t>月</w:t>
      </w:r>
      <w:r>
        <w:rPr>
          <w:rFonts w:hint="eastAsia" w:eastAsia="方正仿宋_GBK"/>
          <w:sz w:val="32"/>
          <w:szCs w:val="32"/>
          <w:lang w:val="en-US" w:eastAsia="zh-CN"/>
        </w:rPr>
        <w:t>25</w:t>
      </w:r>
      <w:r>
        <w:rPr>
          <w:rFonts w:hint="eastAsia" w:eastAsia="方正仿宋_GBK"/>
          <w:sz w:val="32"/>
          <w:szCs w:val="32"/>
        </w:rPr>
        <w:t>日</w:t>
      </w:r>
    </w:p>
    <w:tbl>
      <w:tblPr>
        <w:tblStyle w:val="9"/>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方正仿宋_GBK"/>
                <w:sz w:val="28"/>
                <w:szCs w:val="28"/>
              </w:rPr>
            </w:pPr>
            <w:r>
              <w:rPr>
                <w:rFonts w:hint="default" w:ascii="Times New Roman" w:hAnsi="Times New Roman" w:eastAsia="方正楷体_GBK" w:cs="Times New Roman"/>
                <w:w w:val="80"/>
                <w:sz w:val="24"/>
                <w:lang w:val="en-US" w:eastAsia="zh-CN"/>
              </w:rPr>
              <w:t>城镇污水治理工作差距较大，污水收集处理不到位。受城郊结合部、城中村、老旧小区等区域污水管网覆盖不全面、雨污分流不彻底、管网错接混接等影响，城市生活污水收集率不高、污水处理厂进水浓度低等问题较为突出。凤庆县城区生活污水管网配套不完善、雨污分流不彻底，污水处理厂超负荷运行。</w:t>
            </w:r>
          </w:p>
        </w:tc>
        <w:tc>
          <w:tcPr>
            <w:tcW w:w="174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15" w:type="dxa"/>
            <w:vMerge w:val="continue"/>
            <w:noWrap w:val="0"/>
            <w:vAlign w:val="center"/>
          </w:tcPr>
          <w:p>
            <w:pPr>
              <w:adjustRightInd w:val="0"/>
              <w:snapToGrid w:val="0"/>
              <w:spacing w:line="560" w:lineRule="exact"/>
              <w:jc w:val="center"/>
            </w:pPr>
          </w:p>
        </w:tc>
        <w:tc>
          <w:tcPr>
            <w:tcW w:w="7365" w:type="dxa"/>
            <w:gridSpan w:val="6"/>
            <w:vMerge w:val="continue"/>
            <w:noWrap w:val="0"/>
            <w:vAlign w:val="center"/>
          </w:tcPr>
          <w:p>
            <w:pPr>
              <w:adjustRightInd w:val="0"/>
              <w:snapToGrid w:val="0"/>
              <w:spacing w:line="560" w:lineRule="exact"/>
              <w:jc w:val="center"/>
            </w:pPr>
          </w:p>
        </w:tc>
        <w:tc>
          <w:tcPr>
            <w:tcW w:w="1740" w:type="dxa"/>
            <w:gridSpan w:val="3"/>
            <w:vMerge w:val="continue"/>
            <w:noWrap w:val="0"/>
            <w:vAlign w:val="center"/>
          </w:tcPr>
          <w:p>
            <w:pPr>
              <w:adjustRightInd w:val="0"/>
              <w:snapToGrid w:val="0"/>
              <w:spacing w:line="560" w:lineRule="exact"/>
              <w:jc w:val="center"/>
            </w:pP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凤庆县住房和城乡建设局</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方正仿宋_GBK"/>
                <w:sz w:val="28"/>
                <w:szCs w:val="28"/>
              </w:rPr>
            </w:pPr>
            <w:r>
              <w:rPr>
                <w:rFonts w:hint="default" w:ascii="Times New Roman" w:hAnsi="Times New Roman" w:eastAsia="方正楷体_GBK" w:cs="Times New Roman"/>
                <w:w w:val="80"/>
                <w:sz w:val="24"/>
                <w:lang w:val="en-US" w:eastAsia="zh-CN"/>
              </w:rPr>
              <w:t>全面补齐污水防治工作短板，推进城镇生活污水治理，构筑全流域、全方位、全时段水污染防治体系。全面排查整治生活污水直排溢流问题，对雨污错接混接、外水接入点、违规排水户、断头堵塞管等进行全面排查，建立问题清单台账。加快推进城镇污水处理厂和污水管网建设，提升污水收集能力，化解污水处理厂超负荷运行问题。</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已取得阶段性成效，并长期坚持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5" w:type="dxa"/>
            <w:gridSpan w:val="1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r>
              <w:rPr>
                <w:rFonts w:hint="eastAsia" w:ascii="Times New Roman" w:hAnsi="Times New Roman" w:eastAsia="方正楷体_GBK" w:cs="Times New Roman"/>
                <w:w w:val="66"/>
                <w:sz w:val="24"/>
                <w:lang w:val="en-US" w:eastAsia="zh-CN"/>
              </w:rPr>
              <w:t>措施1.县住房和城乡建设局督促各乡镇和云南凤庆产业园区管委会要全面排查城镇排水管网情况，整治雨污管网错接混接漏接问题和污水直排乱排行为,加强污水管网建设和改造，提升雨污分流成效、减少“外水”排入污水管网，提升污水处理厂的进水浓度和城市污水收集率。加大污水处理厂运行的监管力度，确保污水处理厂运行正常、达标排放。全面摸清污水处理厂排水管网设施建设和运行情况，编制城市污水处理厂、排水管网“二厂一策”方案。</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lang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已完成整改</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r>
              <w:rPr>
                <w:rFonts w:hint="eastAsia" w:ascii="Times New Roman" w:hAnsi="Times New Roman" w:eastAsia="方正楷体_GBK" w:cs="Times New Roman"/>
                <w:w w:val="60"/>
                <w:sz w:val="24"/>
                <w:lang w:val="en-US" w:eastAsia="zh-CN"/>
              </w:rPr>
              <w:t>措施2：要加快推进城镇污水管网建设与改造。加快建设城中村、老旧城区、棚户区和城乡接合部生活污水收集管网，完善雨污分流系统，消除污水收集管网空白区，进一步提升城市污水收集处理质效。到 2025 年，县城污水处理厂生化需氧量进水浓度不低于 100mg/L，县城污水集中收集率不低于70%。</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lang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已</w:t>
            </w:r>
            <w:r>
              <w:rPr>
                <w:rFonts w:hint="eastAsia" w:eastAsia="方正楷体_GBK" w:cs="Times New Roman"/>
                <w:w w:val="80"/>
                <w:sz w:val="24"/>
                <w:lang w:val="en-US" w:eastAsia="zh-CN"/>
              </w:rPr>
              <w:t>取得阶段性成效</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Times New Roman" w:hAnsi="Times New Roman" w:eastAsia="方正楷体_GBK" w:cs="Times New Roman"/>
                <w:w w:val="66"/>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r>
              <w:rPr>
                <w:rFonts w:hint="eastAsia" w:ascii="Times New Roman" w:hAnsi="Times New Roman" w:eastAsia="方正楷体_GBK" w:cs="Times New Roman"/>
                <w:w w:val="66"/>
                <w:sz w:val="24"/>
                <w:lang w:val="en-US" w:eastAsia="zh-CN"/>
              </w:rPr>
              <w:t>措施3：督促项目建设进度。完成凤庆县污水处理提质增效项目建设(新建日处理10000立方米城市污水处理厂一座，新建污水收集管道62公里改造城区错接混接污水管道26公里)，开展城市雨污管网错接混接漏接专项整治，提升城市污水收集处理质效。</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2023年</w:t>
            </w:r>
            <w:r>
              <w:rPr>
                <w:rFonts w:hint="eastAsia" w:eastAsia="方正楷体_GBK" w:cs="Times New Roman"/>
                <w:w w:val="90"/>
                <w:sz w:val="24"/>
                <w:lang w:val="en-US" w:eastAsia="zh-CN"/>
              </w:rPr>
              <w:t>8月</w:t>
            </w:r>
            <w:r>
              <w:rPr>
                <w:rFonts w:hint="eastAsia" w:ascii="Times New Roman" w:hAnsi="Times New Roman" w:eastAsia="方正楷体_GBK" w:cs="Times New Roman"/>
                <w:w w:val="90"/>
                <w:sz w:val="24"/>
                <w:lang w:val="en-US" w:eastAsia="zh-CN"/>
              </w:rPr>
              <w:t>底完</w:t>
            </w:r>
            <w:r>
              <w:rPr>
                <w:rFonts w:hint="eastAsia" w:eastAsia="方正楷体_GBK" w:cs="Times New Roman"/>
                <w:w w:val="90"/>
                <w:sz w:val="24"/>
                <w:lang w:val="en-US" w:eastAsia="zh-CN"/>
              </w:rPr>
              <w:t>成整改</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66"/>
                <w:sz w:val="24"/>
                <w:lang w:val="en-US" w:eastAsia="zh-CN"/>
              </w:rPr>
            </w:pPr>
            <w:r>
              <w:rPr>
                <w:rFonts w:hint="eastAsia" w:ascii="Times New Roman" w:hAnsi="Times New Roman" w:eastAsia="方正楷体_GBK" w:cs="Times New Roman"/>
                <w:w w:val="66"/>
                <w:sz w:val="24"/>
                <w:lang w:val="en-US" w:eastAsia="zh-CN"/>
              </w:rPr>
              <w:t>措施4：云南凤庆产业园区管委会要加强污水处理设施建设，保障现有设施正常运行。定期做好园区内管网巡管工作，配合做好周边村落污水收集和雨污分流工作，提升污水管网质量和污水收集处理效能，污水实现应收尽收。</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80"/>
                <w:sz w:val="24"/>
                <w:lang w:val="en-US" w:eastAsia="zh-CN"/>
              </w:rPr>
              <w:t>云南凤庆产业园区管委会</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80"/>
                <w:sz w:val="24"/>
                <w:lang w:val="en-US" w:eastAsia="zh-CN"/>
              </w:rPr>
              <w:t>已</w:t>
            </w:r>
            <w:r>
              <w:rPr>
                <w:rFonts w:hint="eastAsia" w:eastAsia="方正楷体_GBK" w:cs="Times New Roman"/>
                <w:w w:val="80"/>
                <w:sz w:val="24"/>
                <w:lang w:val="en-US" w:eastAsia="zh-CN"/>
              </w:rPr>
              <w:t>取得阶段性成效</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adjustRightInd w:val="0"/>
              <w:snapToGrid w:val="0"/>
              <w:spacing w:line="560" w:lineRule="exact"/>
              <w:jc w:val="center"/>
              <w:rPr>
                <w:rFonts w:hint="eastAsia" w:eastAsia="方正仿宋_GBK"/>
                <w:sz w:val="28"/>
                <w:szCs w:val="28"/>
              </w:rPr>
            </w:pPr>
            <w:r>
              <w:rPr>
                <w:rFonts w:hint="eastAsia" w:eastAsia="方正仿宋_GBK"/>
                <w:sz w:val="28"/>
                <w:szCs w:val="28"/>
              </w:rPr>
              <w:t>行为查处</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84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bookmarkStart w:id="0" w:name="_GoBack"/>
            <w:bookmarkEnd w:id="0"/>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Merge w:val="continue"/>
            <w:noWrap w:val="0"/>
            <w:vAlign w:val="center"/>
          </w:tcPr>
          <w:p>
            <w:pPr>
              <w:adjustRightInd w:val="0"/>
              <w:snapToGrid w:val="0"/>
              <w:spacing w:line="560" w:lineRule="exact"/>
              <w:jc w:val="center"/>
            </w:pPr>
          </w:p>
        </w:tc>
        <w:tc>
          <w:tcPr>
            <w:tcW w:w="1845" w:type="dxa"/>
            <w:vMerge w:val="continue"/>
            <w:noWrap w:val="0"/>
            <w:vAlign w:val="center"/>
          </w:tcPr>
          <w:p>
            <w:pPr>
              <w:adjustRightInd w:val="0"/>
              <w:snapToGrid w:val="0"/>
              <w:spacing w:line="560" w:lineRule="exact"/>
              <w:jc w:val="center"/>
            </w:pPr>
          </w:p>
        </w:tc>
        <w:tc>
          <w:tcPr>
            <w:tcW w:w="1635" w:type="dxa"/>
            <w:vMerge w:val="continue"/>
            <w:noWrap w:val="0"/>
            <w:vAlign w:val="center"/>
          </w:tcPr>
          <w:p>
            <w:pPr>
              <w:adjustRightInd w:val="0"/>
              <w:snapToGrid w:val="0"/>
              <w:spacing w:line="560" w:lineRule="exact"/>
              <w:jc w:val="cente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pPr>
          </w:p>
        </w:tc>
        <w:tc>
          <w:tcPr>
            <w:tcW w:w="1845" w:type="dxa"/>
            <w:vMerge w:val="continue"/>
            <w:noWrap w:val="0"/>
            <w:vAlign w:val="center"/>
          </w:tcPr>
          <w:p>
            <w:pPr>
              <w:adjustRightInd w:val="0"/>
              <w:snapToGrid w:val="0"/>
              <w:spacing w:line="560" w:lineRule="exact"/>
              <w:jc w:val="center"/>
            </w:pPr>
          </w:p>
        </w:tc>
        <w:tc>
          <w:tcPr>
            <w:tcW w:w="1635" w:type="dxa"/>
            <w:vMerge w:val="continue"/>
            <w:noWrap w:val="0"/>
            <w:vAlign w:val="center"/>
          </w:tcPr>
          <w:p>
            <w:pPr>
              <w:adjustRightInd w:val="0"/>
              <w:snapToGrid w:val="0"/>
              <w:spacing w:line="560" w:lineRule="exact"/>
              <w:jc w:val="cente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群众满意</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ascii="Times New Roman" w:hAnsi="Times New Roman" w:eastAsia="方正仿宋_GBK" w:cs="Times New Roman"/>
                <w:sz w:val="28"/>
                <w:szCs w:val="28"/>
                <w:lang w:val="en-US" w:eastAsia="zh-CN"/>
              </w:rPr>
              <w:t>度调查</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val="en-US" w:eastAsia="zh-CN"/>
              </w:rPr>
              <w:t>凤庆县住房和城乡建设局</w:t>
            </w: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280" w:firstLineChars="100"/>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经材料核实和现场核实，符合验收要求，同意上报组织验收。</w:t>
            </w:r>
          </w:p>
          <w:p>
            <w:pPr>
              <w:rPr>
                <w:rFonts w:hint="eastAsia"/>
              </w:rPr>
            </w:pPr>
          </w:p>
          <w:p>
            <w:pPr>
              <w:pStyle w:val="2"/>
              <w:rPr>
                <w:rFonts w:hint="eastAsia"/>
              </w:rPr>
            </w:pP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32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p>
    <w:sectPr>
      <w:footerReference r:id="rId3" w:type="default"/>
      <w:pgSz w:w="16838" w:h="11906" w:orient="landscape"/>
      <w:pgMar w:top="1672" w:right="1984" w:bottom="1502"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2YxMzc3NTQ4YTVlNDhjY2QyMzg0YjUzZGIwYTYifQ=="/>
  </w:docVars>
  <w:rsids>
    <w:rsidRoot w:val="7A862C48"/>
    <w:rsid w:val="00C30909"/>
    <w:rsid w:val="086A3AE2"/>
    <w:rsid w:val="09C778BB"/>
    <w:rsid w:val="0D343170"/>
    <w:rsid w:val="16856532"/>
    <w:rsid w:val="16890F57"/>
    <w:rsid w:val="16D3004D"/>
    <w:rsid w:val="1AEC6857"/>
    <w:rsid w:val="2231191E"/>
    <w:rsid w:val="270C275B"/>
    <w:rsid w:val="32205AF5"/>
    <w:rsid w:val="37EF1A09"/>
    <w:rsid w:val="3804432F"/>
    <w:rsid w:val="38F848ED"/>
    <w:rsid w:val="3B7A102A"/>
    <w:rsid w:val="3C4538B7"/>
    <w:rsid w:val="40DC2D46"/>
    <w:rsid w:val="41601281"/>
    <w:rsid w:val="4594599D"/>
    <w:rsid w:val="48914416"/>
    <w:rsid w:val="4A201EF6"/>
    <w:rsid w:val="4E1A4EAE"/>
    <w:rsid w:val="4F0373FC"/>
    <w:rsid w:val="53763A1C"/>
    <w:rsid w:val="5A7F0581"/>
    <w:rsid w:val="5D573A29"/>
    <w:rsid w:val="600957DA"/>
    <w:rsid w:val="63D3519C"/>
    <w:rsid w:val="654E7F43"/>
    <w:rsid w:val="66CA55E8"/>
    <w:rsid w:val="6A7C3215"/>
    <w:rsid w:val="6B6537B4"/>
    <w:rsid w:val="6CB55D3E"/>
    <w:rsid w:val="72704F19"/>
    <w:rsid w:val="729D3834"/>
    <w:rsid w:val="7A862C48"/>
    <w:rsid w:val="7EB90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cs="宋体"/>
      <w:b/>
      <w:bCs/>
      <w:sz w:val="32"/>
      <w:szCs w:val="32"/>
    </w:rPr>
  </w:style>
  <w:style w:type="paragraph" w:styleId="4">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Body Text"/>
    <w:basedOn w:val="1"/>
    <w:next w:val="7"/>
    <w:unhideWhenUsed/>
    <w:qFormat/>
    <w:uiPriority w:val="99"/>
    <w:pPr>
      <w:spacing w:after="120"/>
    </w:pPr>
  </w:style>
  <w:style w:type="paragraph" w:styleId="7">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8">
    <w:name w:val="footer"/>
    <w:basedOn w:val="1"/>
    <w:next w:val="1"/>
    <w:unhideWhenUsed/>
    <w:qFormat/>
    <w:uiPriority w:val="99"/>
    <w:pPr>
      <w:tabs>
        <w:tab w:val="center" w:pos="4153"/>
        <w:tab w:val="right" w:pos="8306"/>
      </w:tabs>
      <w:snapToGrid w:val="0"/>
      <w:jc w:val="left"/>
    </w:pPr>
    <w:rPr>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1"/>
    <w:basedOn w:val="6"/>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3">
    <w:name w:val="font21"/>
    <w:basedOn w:val="11"/>
    <w:qFormat/>
    <w:uiPriority w:val="0"/>
    <w:rPr>
      <w:rFonts w:hint="eastAsia" w:ascii="方正仿宋_GBK" w:hAnsi="方正仿宋_GBK" w:eastAsia="方正仿宋_GBK" w:cs="方正仿宋_GBK"/>
      <w:color w:val="000000"/>
      <w:sz w:val="36"/>
      <w:szCs w:val="36"/>
      <w:u w:val="none"/>
    </w:rPr>
  </w:style>
  <w:style w:type="character" w:customStyle="1" w:styleId="14">
    <w:name w:val="font11"/>
    <w:basedOn w:val="11"/>
    <w:qFormat/>
    <w:uiPriority w:val="0"/>
    <w:rPr>
      <w:rFonts w:ascii="Arial" w:hAnsi="Arial" w:cs="Arial"/>
      <w:color w:val="000000"/>
      <w:sz w:val="36"/>
      <w:szCs w:val="36"/>
      <w:u w:val="none"/>
    </w:rPr>
  </w:style>
  <w:style w:type="character" w:customStyle="1" w:styleId="15">
    <w:name w:val="font01"/>
    <w:basedOn w:val="11"/>
    <w:qFormat/>
    <w:uiPriority w:val="0"/>
    <w:rPr>
      <w:rFonts w:hint="eastAsia" w:ascii="宋体" w:hAnsi="宋体" w:eastAsia="宋体" w:cs="宋体"/>
      <w:color w:val="000000"/>
      <w:sz w:val="36"/>
      <w:szCs w:val="36"/>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17</Pages>
  <Words>6138</Words>
  <Characters>6321</Characters>
  <Lines>0</Lines>
  <Paragraphs>0</Paragraphs>
  <TotalTime>4</TotalTime>
  <ScaleCrop>false</ScaleCrop>
  <LinksUpToDate>false</LinksUpToDate>
  <CharactersWithSpaces>6586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ᝰ丶Role</cp:lastModifiedBy>
  <cp:lastPrinted>2023-11-08T03:08:00Z</cp:lastPrinted>
  <dcterms:modified xsi:type="dcterms:W3CDTF">2023-11-10T09:28:00Z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08A96F85C82F47389DFFADCF53C9B74A_13</vt:lpwstr>
  </property>
</Properties>
</file>