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afterAutospacing="0" w:line="56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p>
      <w:pPr>
        <w:spacing w:line="560" w:lineRule="exact"/>
        <w:jc w:val="center"/>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凤庆县人民政府（盖章）</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25</w:t>
      </w:r>
      <w:bookmarkStart w:id="0" w:name="_GoBack"/>
      <w:bookmarkEnd w:id="0"/>
      <w:r>
        <w:rPr>
          <w:rFonts w:hint="eastAsia" w:eastAsia="方正仿宋_GBK"/>
          <w:sz w:val="32"/>
          <w:szCs w:val="32"/>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15" w:type="dxa"/>
            <w:vMerge w:val="restart"/>
            <w:noWrap w:val="0"/>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6"/>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危险废物监管不到位</w:t>
            </w:r>
          </w:p>
        </w:tc>
        <w:tc>
          <w:tcPr>
            <w:tcW w:w="174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15" w:type="dxa"/>
            <w:vMerge w:val="continue"/>
            <w:noWrap w:val="0"/>
            <w:vAlign w:val="center"/>
          </w:tcPr>
          <w:p>
            <w:pPr>
              <w:adjustRightInd w:val="0"/>
              <w:snapToGrid w:val="0"/>
              <w:spacing w:line="560" w:lineRule="exact"/>
              <w:jc w:val="center"/>
            </w:pPr>
          </w:p>
        </w:tc>
        <w:tc>
          <w:tcPr>
            <w:tcW w:w="7365" w:type="dxa"/>
            <w:gridSpan w:val="6"/>
            <w:vMerge w:val="continue"/>
            <w:noWrap w:val="0"/>
            <w:vAlign w:val="center"/>
          </w:tcPr>
          <w:p>
            <w:pPr>
              <w:adjustRightInd w:val="0"/>
              <w:snapToGrid w:val="0"/>
              <w:spacing w:line="560" w:lineRule="exact"/>
              <w:jc w:val="center"/>
            </w:pPr>
          </w:p>
        </w:tc>
        <w:tc>
          <w:tcPr>
            <w:tcW w:w="1740" w:type="dxa"/>
            <w:gridSpan w:val="3"/>
            <w:vMerge w:val="continue"/>
            <w:noWrap w:val="0"/>
            <w:vAlign w:val="center"/>
          </w:tcPr>
          <w:p>
            <w:pPr>
              <w:adjustRightInd w:val="0"/>
              <w:snapToGrid w:val="0"/>
              <w:spacing w:line="560" w:lineRule="exact"/>
              <w:jc w:val="center"/>
            </w:pP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1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8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临沧市生态环境局凤庆分局</w:t>
            </w:r>
          </w:p>
          <w:p>
            <w:pPr>
              <w:pStyle w:val="2"/>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eastAsia"/>
                <w:lang w:eastAsia="zh-CN"/>
              </w:rPr>
            </w:pPr>
            <w:r>
              <w:rPr>
                <w:rFonts w:hint="eastAsia" w:eastAsia="方正仿宋_GBK"/>
                <w:sz w:val="28"/>
                <w:szCs w:val="28"/>
                <w:lang w:eastAsia="zh-CN"/>
              </w:rPr>
              <w:t>凤庆县卫生健康局</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eastAsia="方正仿宋_GBK"/>
                <w:sz w:val="28"/>
                <w:szCs w:val="28"/>
              </w:rPr>
            </w:pPr>
            <w:r>
              <w:rPr>
                <w:rFonts w:hint="eastAsia" w:eastAsia="方正仿宋_GBK"/>
                <w:sz w:val="24"/>
                <w:szCs w:val="24"/>
              </w:rPr>
              <w:t>着力提升医疗废物监管能力，健全危险废物环境监管体系，推动构建危险废物监管网络，防范化解危险废物环境风险，全县危险废物规范</w:t>
            </w:r>
            <w:r>
              <w:rPr>
                <w:rFonts w:hint="eastAsia" w:eastAsia="方正仿宋_GBK"/>
                <w:spacing w:val="-6"/>
                <w:sz w:val="24"/>
                <w:szCs w:val="24"/>
              </w:rPr>
              <w:t>化管理水平、医疗废物处置能力持续提升，危险废物环境风险总体可控。</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955" w:type="dxa"/>
            <w:gridSpan w:val="1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4"/>
                <w:szCs w:val="24"/>
              </w:rPr>
              <w:t>措施1：</w:t>
            </w:r>
            <w:r>
              <w:rPr>
                <w:rFonts w:hint="eastAsia" w:eastAsia="方正仿宋_GBK"/>
                <w:spacing w:val="-6"/>
                <w:sz w:val="24"/>
                <w:szCs w:val="24"/>
              </w:rPr>
              <w:t>市生态环境局凤庆分局和县卫生健康局督促凤庆县利盈医疗废物处理有限公司依法对收集转运的医疗废物进行规范贮存，并及时无害化处置；杜绝医疗废物在处置车间内长期贮存。</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4"/>
                <w:szCs w:val="24"/>
                <w:lang w:eastAsia="zh-CN"/>
              </w:rPr>
              <w:t>临沧市生态环境局凤庆分局、凤庆县卫生健康局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4"/>
                <w:szCs w:val="24"/>
                <w:lang w:eastAsia="zh-CN"/>
              </w:rPr>
              <w:t>立行立改并长期坚持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lang w:eastAsia="zh-CN"/>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5" w:type="dxa"/>
            <w:gridSpan w:val="3"/>
            <w:vMerge w:val="continue"/>
            <w:noWrap w:val="0"/>
            <w:vAlign w:val="center"/>
          </w:tcPr>
          <w:p>
            <w:pPr>
              <w:adjustRightInd w:val="0"/>
              <w:snapToGrid w:val="0"/>
              <w:spacing w:line="560" w:lineRule="exact"/>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4"/>
                <w:szCs w:val="24"/>
              </w:rPr>
              <w:t>措施2：市生态环境局凤庆分局和县卫生健康局要举一反三，加强对辖区危险废物（医疗废物）和医疗废水产生、处置的日常监督管理。</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4"/>
                <w:szCs w:val="24"/>
                <w:lang w:eastAsia="zh-CN"/>
              </w:rPr>
              <w:t>临沧市生态环境局凤庆分局、凤庆县卫生健康局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4"/>
                <w:szCs w:val="24"/>
                <w:lang w:eastAsia="zh-CN"/>
              </w:rPr>
              <w:t>立行立改并长期坚持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lang w:eastAsia="zh-CN"/>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995" w:type="dxa"/>
            <w:gridSpan w:val="3"/>
            <w:vMerge w:val="continue"/>
            <w:noWrap w:val="0"/>
            <w:vAlign w:val="center"/>
          </w:tcPr>
          <w:p>
            <w:pPr>
              <w:adjustRightInd w:val="0"/>
              <w:snapToGrid w:val="0"/>
              <w:spacing w:line="560" w:lineRule="exact"/>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adjustRightInd w:val="0"/>
              <w:snapToGrid w:val="0"/>
              <w:spacing w:line="560" w:lineRule="exact"/>
              <w:jc w:val="center"/>
              <w:rPr>
                <w:rFonts w:hint="eastAsia" w:eastAsia="方正仿宋_GBK"/>
                <w:sz w:val="28"/>
                <w:szCs w:val="28"/>
              </w:rPr>
            </w:pPr>
            <w:r>
              <w:rPr>
                <w:rFonts w:hint="eastAsia" w:eastAsia="方正仿宋_GBK"/>
                <w:sz w:val="28"/>
                <w:szCs w:val="28"/>
              </w:rPr>
              <w:t>行为查处</w:t>
            </w:r>
          </w:p>
        </w:tc>
        <w:tc>
          <w:tcPr>
            <w:tcW w:w="1845" w:type="dxa"/>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责任追究</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p>
            <w:pPr>
              <w:adjustRightInd w:val="0"/>
              <w:snapToGrid w:val="0"/>
              <w:spacing w:line="560" w:lineRule="exact"/>
              <w:jc w:val="center"/>
              <w:rPr>
                <w:rFonts w:hint="eastAsia" w:eastAsia="方正仿宋_GBK"/>
                <w:sz w:val="28"/>
                <w:szCs w:val="28"/>
              </w:rPr>
            </w:pPr>
            <w:r>
              <w:rPr>
                <w:rFonts w:hint="eastAsia" w:eastAsia="方正仿宋_GBK"/>
                <w:sz w:val="28"/>
                <w:szCs w:val="28"/>
              </w:rPr>
              <w:t>链接</w:t>
            </w: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群众满意</w:t>
            </w:r>
          </w:p>
          <w:p>
            <w:pPr>
              <w:adjustRightInd w:val="0"/>
              <w:snapToGrid w:val="0"/>
              <w:spacing w:line="560" w:lineRule="exact"/>
              <w:jc w:val="center"/>
              <w:rPr>
                <w:rFonts w:hint="eastAsia" w:eastAsia="方正仿宋_GBK"/>
                <w:sz w:val="28"/>
                <w:szCs w:val="28"/>
              </w:rPr>
            </w:pPr>
            <w:r>
              <w:rPr>
                <w:rFonts w:hint="eastAsia" w:eastAsia="方正仿宋_GBK"/>
                <w:sz w:val="28"/>
                <w:szCs w:val="28"/>
              </w:rPr>
              <w:t>度调查</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lang w:eastAsia="zh-CN"/>
              </w:rPr>
              <w:t>临沧市生态环境局凤庆分局</w:t>
            </w: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调查情况</w:t>
            </w:r>
          </w:p>
        </w:tc>
        <w:tc>
          <w:tcPr>
            <w:tcW w:w="5745" w:type="dxa"/>
            <w:gridSpan w:val="5"/>
            <w:noWrap w:val="0"/>
            <w:vAlign w:val="center"/>
          </w:tcPr>
          <w:p>
            <w:pPr>
              <w:adjustRightInd w:val="0"/>
              <w:snapToGrid w:val="0"/>
              <w:spacing w:line="560" w:lineRule="exact"/>
              <w:jc w:val="both"/>
              <w:rPr>
                <w:rFonts w:hint="default" w:eastAsia="方正仿宋_GBK"/>
                <w:sz w:val="28"/>
                <w:szCs w:val="28"/>
                <w:lang w:val="en-US" w:eastAsia="zh-CN"/>
              </w:rPr>
            </w:pPr>
            <w:r>
              <w:rPr>
                <w:rFonts w:hint="eastAsia" w:eastAsia="方正仿宋_GBK"/>
                <w:sz w:val="28"/>
                <w:szCs w:val="28"/>
                <w:lang w:eastAsia="zh-CN"/>
              </w:rPr>
              <w:t>随机对凤庆县利盈医疗废物处理有限公司以及其他</w:t>
            </w:r>
            <w:r>
              <w:rPr>
                <w:rFonts w:hint="eastAsia" w:eastAsia="方正仿宋_GBK"/>
                <w:sz w:val="28"/>
                <w:szCs w:val="28"/>
                <w:lang w:val="en-US" w:eastAsia="zh-CN"/>
              </w:rPr>
              <w:t>10家医疗机构开展了满意度调查，调查结果均为：满意。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3360" w:type="dxa"/>
            <w:gridSpan w:val="2"/>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noWrap w:val="0"/>
            <w:vAlign w:val="top"/>
          </w:tcPr>
          <w:p>
            <w:pPr>
              <w:adjustRightInd w:val="0"/>
              <w:snapToGrid w:val="0"/>
              <w:spacing w:line="560" w:lineRule="exact"/>
              <w:ind w:firstLine="560" w:firstLineChars="200"/>
              <w:rPr>
                <w:rFonts w:hint="eastAsia" w:eastAsia="方正仿宋_GBK"/>
                <w:sz w:val="28"/>
                <w:szCs w:val="28"/>
              </w:rPr>
            </w:pPr>
            <w:r>
              <w:rPr>
                <w:rFonts w:hint="eastAsia" w:eastAsia="方正仿宋_GBK"/>
                <w:sz w:val="28"/>
                <w:szCs w:val="28"/>
              </w:rPr>
              <w:t>经材料核实和现场核实，符合验收要求，同意上报组织验收。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TZjYzM0YTJmMzE0YmVlYTFiNDhkZTcyYjJkMjEifQ=="/>
  </w:docVars>
  <w:rsids>
    <w:rsidRoot w:val="415D1B00"/>
    <w:rsid w:val="0D2545A9"/>
    <w:rsid w:val="0E963BD2"/>
    <w:rsid w:val="103D7DD7"/>
    <w:rsid w:val="172110B4"/>
    <w:rsid w:val="1CFF5B80"/>
    <w:rsid w:val="27E63328"/>
    <w:rsid w:val="2E253052"/>
    <w:rsid w:val="2F9151EB"/>
    <w:rsid w:val="3E917C86"/>
    <w:rsid w:val="415D1B00"/>
    <w:rsid w:val="428301D9"/>
    <w:rsid w:val="45F9147B"/>
    <w:rsid w:val="4A022C0A"/>
    <w:rsid w:val="59896F65"/>
    <w:rsid w:val="624757B6"/>
    <w:rsid w:val="75C04012"/>
    <w:rsid w:val="794E3E11"/>
    <w:rsid w:val="7F84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2023-09-22T05:43:00Z</dcterms:created>
  <dc:creator>罗会能</dc:creator>
  <cp:lastModifiedBy>罗会能</cp:lastModifiedBy>
  <dcterms:modified xsi:type="dcterms:W3CDTF">2023-09-25T00:48:40Z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79B5486DB92E451C8F171920F2C21512_11</vt:lpwstr>
  </property>
</Properties>
</file>