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凤庆县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2024年第二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季度</w:t>
      </w:r>
      <w:r>
        <w:rPr>
          <w:rFonts w:hint="eastAsia" w:ascii="方正小标宋_GBK" w:eastAsia="方正小标宋_GBK"/>
          <w:sz w:val="44"/>
          <w:szCs w:val="44"/>
        </w:rPr>
        <w:t>存量住宅用地位置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影像</w:t>
      </w:r>
      <w:r>
        <w:rPr>
          <w:rFonts w:hint="eastAsia" w:ascii="方正小标宋_GBK" w:eastAsia="方正小标宋_GBK"/>
          <w:sz w:val="44"/>
          <w:szCs w:val="44"/>
        </w:rPr>
        <w:t>示意图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drawing>
          <wp:inline distT="0" distB="0" distL="0" distR="0">
            <wp:extent cx="5274310" cy="3728720"/>
            <wp:effectExtent l="19050" t="0" r="2540" b="0"/>
            <wp:docPr id="2" name="图片 2" descr="E:\Users\MHDN\AppData\Local\Temp\WeChat Files\bee02e870053e2f41682401eef67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Users\MHDN\AppData\Local\Temp\WeChat Files\bee02e870053e2f41682401eef67c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drawing>
          <wp:inline distT="0" distB="0" distL="114300" distR="114300">
            <wp:extent cx="5263515" cy="3720465"/>
            <wp:effectExtent l="0" t="0" r="9525" b="13335"/>
            <wp:docPr id="7" name="图片 7" descr="凤庆县存量住宅用地位置影像示意图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凤庆县存量住宅用地位置影像示意图（3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wNGU1MWJkMDYzYmI0NTM4MzU4YzdmODhlYzRjYzYifQ=="/>
  </w:docVars>
  <w:rsids>
    <w:rsidRoot w:val="008E7D26"/>
    <w:rsid w:val="008E7D26"/>
    <w:rsid w:val="009E611B"/>
    <w:rsid w:val="0ED24FA2"/>
    <w:rsid w:val="3DC115AA"/>
    <w:rsid w:val="7E974D50"/>
    <w:rsid w:val="F67B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</Words>
  <Characters>16</Characters>
  <Lines>1</Lines>
  <Paragraphs>1</Paragraphs>
  <TotalTime>3</TotalTime>
  <ScaleCrop>false</ScaleCrop>
  <LinksUpToDate>false</LinksUpToDate>
  <CharactersWithSpaces>16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2022-04-08T09:07:00Z</dcterms:created>
  <dc:creator>MHDN</dc:creator>
  <cp:lastModifiedBy>MHDN</cp:lastModifiedBy>
  <dcterms:modified xsi:type="dcterms:W3CDTF">2024-07-10T11:08:20Z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E8C4BC1E149447BA9843410B1271B221</vt:lpwstr>
  </property>
</Properties>
</file>