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附件2-2：</w:t>
      </w:r>
    </w:p>
    <w:p>
      <w:pPr>
        <w:keepNext w:val="0"/>
        <w:keepLines w:val="0"/>
        <w:pageBreakBefore w:val="0"/>
        <w:kinsoku/>
        <w:wordWrap/>
        <w:overflowPunct/>
        <w:autoSpaceDE/>
        <w:autoSpaceDN/>
        <w:bidi w:val="0"/>
        <w:spacing w:afterAutospacing="0" w:line="560" w:lineRule="exact"/>
        <w:ind w:firstLine="3960" w:firstLineChars="900"/>
        <w:jc w:val="both"/>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pStyle w:val="11"/>
        <w:ind w:left="0" w:leftChars="0" w:firstLine="0" w:firstLineChars="0"/>
        <w:rPr>
          <w:rFonts w:hint="eastAsia"/>
        </w:rPr>
      </w:pPr>
      <w:r>
        <w:rPr>
          <w:rFonts w:hint="eastAsia" w:eastAsia="方正仿宋_GBK"/>
          <w:sz w:val="32"/>
          <w:szCs w:val="32"/>
        </w:rPr>
        <w:t>自查自验组织单位：</w:t>
      </w:r>
      <w:r>
        <w:rPr>
          <w:rFonts w:hint="eastAsia" w:eastAsia="方正仿宋_GBK"/>
          <w:sz w:val="32"/>
          <w:szCs w:val="32"/>
          <w:lang w:eastAsia="zh-CN"/>
        </w:rPr>
        <w:t>凤庆县人民政府</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 </w:t>
      </w:r>
      <w:r>
        <w:rPr>
          <w:rFonts w:hint="eastAsia" w:eastAsia="方正仿宋_GBK"/>
          <w:sz w:val="32"/>
          <w:szCs w:val="32"/>
          <w:lang w:val="en-US" w:eastAsia="zh-CN"/>
        </w:rPr>
        <w:t xml:space="preserve"> 2023</w:t>
      </w:r>
      <w:r>
        <w:rPr>
          <w:rFonts w:hint="eastAsia" w:eastAsia="方正仿宋_GBK"/>
          <w:sz w:val="32"/>
          <w:szCs w:val="32"/>
        </w:rPr>
        <w:t>年</w:t>
      </w:r>
      <w:r>
        <w:rPr>
          <w:rFonts w:hint="eastAsia" w:eastAsia="方正仿宋_GBK"/>
          <w:sz w:val="32"/>
          <w:szCs w:val="32"/>
          <w:lang w:val="en-US" w:eastAsia="zh-CN"/>
        </w:rPr>
        <w:t>7</w:t>
      </w:r>
      <w:r>
        <w:rPr>
          <w:rFonts w:hint="eastAsia" w:eastAsia="方正仿宋_GBK"/>
          <w:sz w:val="32"/>
          <w:szCs w:val="32"/>
        </w:rPr>
        <w:t>月</w:t>
      </w:r>
      <w:r>
        <w:rPr>
          <w:rFonts w:hint="eastAsia" w:eastAsia="方正仿宋_GBK"/>
          <w:sz w:val="32"/>
          <w:szCs w:val="32"/>
          <w:lang w:val="en-US" w:eastAsia="zh-CN"/>
        </w:rPr>
        <w:t>14</w:t>
      </w:r>
      <w:r>
        <w:rPr>
          <w:rFonts w:hint="eastAsia" w:eastAsia="方正仿宋_GBK"/>
          <w:sz w:val="32"/>
          <w:szCs w:val="32"/>
        </w:rPr>
        <w:t>日</w:t>
      </w:r>
    </w:p>
    <w:tbl>
      <w:tblPr>
        <w:tblStyle w:val="12"/>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74"/>
        <w:gridCol w:w="1671"/>
        <w:gridCol w:w="219"/>
        <w:gridCol w:w="1763"/>
        <w:gridCol w:w="2158"/>
        <w:gridCol w:w="375"/>
        <w:gridCol w:w="1005"/>
        <w:gridCol w:w="55"/>
        <w:gridCol w:w="202"/>
        <w:gridCol w:w="848"/>
        <w:gridCol w:w="635"/>
        <w:gridCol w:w="180"/>
        <w:gridCol w:w="767"/>
        <w:gridCol w:w="914"/>
        <w:gridCol w:w="2357"/>
        <w:gridCol w:w="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7"/>
            <w:vMerge w:val="restart"/>
            <w:noWrap w:val="0"/>
            <w:vAlign w:val="center"/>
          </w:tcPr>
          <w:p>
            <w:pPr>
              <w:adjustRightInd w:val="0"/>
              <w:snapToGrid w:val="0"/>
              <w:spacing w:line="560" w:lineRule="exact"/>
              <w:jc w:val="left"/>
              <w:rPr>
                <w:rFonts w:hint="eastAsia" w:eastAsia="方正仿宋_GBK"/>
                <w:sz w:val="28"/>
                <w:szCs w:val="28"/>
              </w:rPr>
            </w:pPr>
            <w:r>
              <w:rPr>
                <w:rFonts w:hint="eastAsia" w:eastAsia="方正仿宋_GBK"/>
                <w:sz w:val="28"/>
                <w:szCs w:val="28"/>
                <w:lang w:val="en-US" w:eastAsia="zh-CN"/>
              </w:rPr>
              <w:t>布点规划不够科学。部分地区采砂点位</w:t>
            </w:r>
            <w:bookmarkStart w:id="0" w:name="_GoBack"/>
            <w:bookmarkEnd w:id="0"/>
            <w:r>
              <w:rPr>
                <w:rFonts w:hint="eastAsia" w:eastAsia="方正仿宋_GBK"/>
                <w:sz w:val="28"/>
                <w:szCs w:val="28"/>
                <w:lang w:val="en-US" w:eastAsia="zh-CN"/>
              </w:rPr>
              <w:t>置密度过大，部分地区采砂点设置数量大于需求。</w:t>
            </w:r>
          </w:p>
        </w:tc>
        <w:tc>
          <w:tcPr>
            <w:tcW w:w="1740" w:type="dxa"/>
            <w:gridSpan w:val="4"/>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5"/>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515" w:type="dxa"/>
            <w:vMerge w:val="continue"/>
            <w:noWrap w:val="0"/>
            <w:vAlign w:val="center"/>
          </w:tcPr>
          <w:p>
            <w:pPr>
              <w:adjustRightInd w:val="0"/>
              <w:snapToGrid w:val="0"/>
              <w:spacing w:line="560" w:lineRule="exact"/>
              <w:jc w:val="center"/>
            </w:pPr>
          </w:p>
        </w:tc>
        <w:tc>
          <w:tcPr>
            <w:tcW w:w="7365" w:type="dxa"/>
            <w:gridSpan w:val="7"/>
            <w:vMerge w:val="continue"/>
            <w:noWrap w:val="0"/>
            <w:vAlign w:val="center"/>
          </w:tcPr>
          <w:p>
            <w:pPr>
              <w:adjustRightInd w:val="0"/>
              <w:snapToGrid w:val="0"/>
              <w:spacing w:line="560" w:lineRule="exact"/>
              <w:jc w:val="center"/>
            </w:pPr>
          </w:p>
        </w:tc>
        <w:tc>
          <w:tcPr>
            <w:tcW w:w="1740" w:type="dxa"/>
            <w:gridSpan w:val="4"/>
            <w:vMerge w:val="continue"/>
            <w:noWrap w:val="0"/>
            <w:vAlign w:val="center"/>
          </w:tcPr>
          <w:p>
            <w:pPr>
              <w:adjustRightInd w:val="0"/>
              <w:snapToGrid w:val="0"/>
              <w:spacing w:line="560" w:lineRule="exact"/>
              <w:jc w:val="center"/>
            </w:pPr>
          </w:p>
        </w:tc>
        <w:tc>
          <w:tcPr>
            <w:tcW w:w="4335" w:type="dxa"/>
            <w:gridSpan w:val="5"/>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 xml:space="preserve">是 </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451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10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凤庆县水务局</w:t>
            </w:r>
          </w:p>
        </w:tc>
        <w:tc>
          <w:tcPr>
            <w:tcW w:w="174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lang w:eastAsia="zh-CN"/>
              </w:rPr>
              <w:t>凤庆县水务局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lang w:val="en-US" w:eastAsia="zh-CN"/>
              </w:rPr>
              <w:t>按照“科学、合理”的原则，合理布局河道采砂场点，规范河道采砂管理，维护河流健康生命</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w:t>
            </w:r>
          </w:p>
        </w:tc>
        <w:tc>
          <w:tcPr>
            <w:tcW w:w="174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eastAsia="方正仿宋_GBK"/>
                <w:sz w:val="28"/>
                <w:szCs w:val="28"/>
              </w:rPr>
            </w:pPr>
            <w:r>
              <w:rPr>
                <w:rFonts w:hint="eastAsia" w:eastAsia="方正仿宋_GBK"/>
                <w:sz w:val="28"/>
                <w:szCs w:val="28"/>
                <w:lang w:val="en-US" w:eastAsia="zh-CN"/>
              </w:rPr>
              <w:t>目前采砂点已由原来的15个点取缔减少到13个，严格执行</w:t>
            </w:r>
            <w:r>
              <w:rPr>
                <w:rFonts w:hint="default" w:eastAsia="方正仿宋_GBK"/>
                <w:sz w:val="28"/>
                <w:szCs w:val="28"/>
                <w:lang w:val="en-US" w:eastAsia="zh-CN"/>
              </w:rPr>
              <w:t>《云南省凤庆县河道采砂规划报告</w:t>
            </w:r>
            <w:r>
              <w:rPr>
                <w:rFonts w:hint="eastAsia" w:eastAsia="方正仿宋_GBK"/>
                <w:sz w:val="28"/>
                <w:szCs w:val="28"/>
                <w:lang w:val="en-US" w:eastAsia="zh-CN"/>
              </w:rPr>
              <w:t>（</w:t>
            </w:r>
            <w:r>
              <w:rPr>
                <w:rFonts w:hint="default" w:eastAsia="方正仿宋_GBK"/>
                <w:sz w:val="28"/>
                <w:szCs w:val="28"/>
                <w:lang w:val="en-US" w:eastAsia="zh-CN"/>
              </w:rPr>
              <w:t>2021</w:t>
            </w:r>
            <w:r>
              <w:rPr>
                <w:rFonts w:hint="eastAsia" w:eastAsia="方正仿宋_GBK"/>
                <w:sz w:val="28"/>
                <w:szCs w:val="28"/>
                <w:lang w:val="en-US" w:eastAsia="zh-CN"/>
              </w:rPr>
              <w:t>—</w:t>
            </w:r>
            <w:r>
              <w:rPr>
                <w:rFonts w:hint="default" w:eastAsia="方正仿宋_GBK"/>
                <w:sz w:val="28"/>
                <w:szCs w:val="28"/>
                <w:lang w:val="en-US" w:eastAsia="zh-CN"/>
              </w:rPr>
              <w:t>2023年</w:t>
            </w:r>
            <w:r>
              <w:rPr>
                <w:rFonts w:hint="eastAsia" w:eastAsia="方正仿宋_GBK"/>
                <w:sz w:val="28"/>
                <w:szCs w:val="28"/>
                <w:lang w:val="en-US" w:eastAsia="zh-CN"/>
              </w:rPr>
              <w:t>）</w:t>
            </w:r>
            <w:r>
              <w:rPr>
                <w:rFonts w:hint="default" w:eastAsia="方正仿宋_GBK"/>
                <w:sz w:val="28"/>
                <w:szCs w:val="28"/>
                <w:lang w:val="en-US" w:eastAsia="zh-CN"/>
              </w:rPr>
              <w:t>》</w:t>
            </w:r>
            <w:r>
              <w:rPr>
                <w:rFonts w:hint="eastAsia" w:eastAsia="方正仿宋_GBK"/>
                <w:sz w:val="28"/>
                <w:szCs w:val="28"/>
                <w:lang w:val="en-US" w:eastAsia="zh-CN"/>
              </w:rPr>
              <w:t>，全县砂厂布局已经合理并运行有序，已经按照反馈问题完成整改及县级初验。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5" w:type="dxa"/>
            <w:gridSpan w:val="17"/>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5" w:type="dxa"/>
            <w:gridSpan w:val="7"/>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eastAsia="方正仿宋_GBK"/>
                <w:sz w:val="28"/>
                <w:szCs w:val="28"/>
                <w:lang w:val="en-US" w:eastAsia="zh-CN"/>
              </w:rPr>
            </w:pPr>
            <w:r>
              <w:rPr>
                <w:rFonts w:hint="eastAsia" w:eastAsia="方正仿宋_GBK"/>
                <w:b/>
                <w:bCs/>
                <w:sz w:val="28"/>
                <w:szCs w:val="28"/>
              </w:rPr>
              <w:t>措施</w:t>
            </w:r>
            <w:r>
              <w:rPr>
                <w:rFonts w:hint="eastAsia" w:ascii="Times New Roman" w:hAnsi="Times New Roman" w:eastAsia="仿宋_GB2312" w:cs="Times New Roman"/>
                <w:b w:val="0"/>
                <w:bCs w:val="0"/>
                <w:color w:val="000000"/>
                <w:spacing w:val="0"/>
                <w:kern w:val="2"/>
                <w:sz w:val="24"/>
                <w:szCs w:val="24"/>
                <w:highlight w:val="none"/>
                <w:lang w:val="en-US" w:eastAsia="zh-CN" w:bidi="ar-SA"/>
              </w:rPr>
              <w:t>：</w:t>
            </w:r>
            <w:r>
              <w:rPr>
                <w:rFonts w:hint="eastAsia" w:eastAsia="方正仿宋_GBK"/>
                <w:sz w:val="28"/>
                <w:szCs w:val="28"/>
                <w:lang w:val="en-US" w:eastAsia="zh-CN"/>
              </w:rPr>
              <w:t>进一步强化组织领导， 创新管理机制，狠抓整改落实，基本形成了职能部门、乡镇各司其职、各履其责，齐抓共管的工作合力。</w:t>
            </w:r>
            <w:r>
              <w:rPr>
                <w:rFonts w:hint="default" w:eastAsia="方正仿宋_GBK"/>
                <w:sz w:val="28"/>
                <w:szCs w:val="28"/>
                <w:lang w:val="en-US" w:eastAsia="zh-CN"/>
              </w:rPr>
              <w:t>一是提高政治站位，高度重视第二轮省级生态环境保护督察反馈问题的整改工作。成立凤庆县水务局整改工作领导小组、制定整改方案</w:t>
            </w:r>
            <w:r>
              <w:rPr>
                <w:rFonts w:hint="eastAsia" w:eastAsia="方正仿宋_GBK"/>
                <w:sz w:val="28"/>
                <w:szCs w:val="28"/>
                <w:lang w:val="en-US" w:eastAsia="zh-CN"/>
              </w:rPr>
              <w:t>、河道采砂专项整治工作方案</w:t>
            </w:r>
            <w:r>
              <w:rPr>
                <w:rFonts w:hint="default" w:eastAsia="方正仿宋_GBK"/>
                <w:sz w:val="28"/>
                <w:szCs w:val="28"/>
                <w:lang w:val="en-US" w:eastAsia="zh-CN"/>
              </w:rPr>
              <w:t>，扎实开展整改工作</w:t>
            </w:r>
            <w:r>
              <w:rPr>
                <w:rFonts w:hint="eastAsia" w:eastAsia="方正仿宋_GBK"/>
                <w:sz w:val="28"/>
                <w:szCs w:val="28"/>
                <w:lang w:val="en-US" w:eastAsia="zh-CN"/>
              </w:rPr>
              <w:t>；</w:t>
            </w:r>
            <w:r>
              <w:rPr>
                <w:rFonts w:hint="default" w:eastAsia="方正仿宋_GBK"/>
                <w:sz w:val="28"/>
                <w:szCs w:val="28"/>
                <w:lang w:val="en-US" w:eastAsia="zh-CN"/>
              </w:rPr>
              <w:t>二是切实加快整改工作进度。积极与</w:t>
            </w:r>
            <w:r>
              <w:rPr>
                <w:rFonts w:hint="eastAsia" w:eastAsia="方正仿宋_GBK"/>
                <w:sz w:val="28"/>
                <w:szCs w:val="28"/>
                <w:lang w:val="en-US" w:eastAsia="zh-CN"/>
              </w:rPr>
              <w:t>上级有关部门</w:t>
            </w:r>
            <w:r>
              <w:rPr>
                <w:rFonts w:hint="default" w:eastAsia="方正仿宋_GBK"/>
                <w:sz w:val="28"/>
                <w:szCs w:val="28"/>
                <w:lang w:val="en-US" w:eastAsia="zh-CN"/>
              </w:rPr>
              <w:t>对接联系，准确把握整改政策，确保整改工作合法合规</w:t>
            </w:r>
            <w:r>
              <w:rPr>
                <w:rFonts w:hint="eastAsia" w:eastAsia="方正仿宋_GBK"/>
                <w:sz w:val="28"/>
                <w:szCs w:val="28"/>
                <w:lang w:val="en-US" w:eastAsia="zh-CN"/>
              </w:rPr>
              <w:t>；三是</w:t>
            </w:r>
            <w:r>
              <w:rPr>
                <w:rFonts w:hint="default" w:eastAsia="方正仿宋_GBK"/>
                <w:sz w:val="28"/>
                <w:szCs w:val="28"/>
                <w:lang w:val="en-US" w:eastAsia="zh-CN"/>
              </w:rPr>
              <w:t>通过借鉴学习，我县砂石资源管理确定了由国资公司对河砂资源统一经营管理的模式，县人民政府出台了《凤庆县规范河道采砂管理工作实施方案》</w:t>
            </w:r>
            <w:r>
              <w:rPr>
                <w:rFonts w:hint="eastAsia" w:eastAsia="方正仿宋_GBK"/>
                <w:sz w:val="28"/>
                <w:szCs w:val="28"/>
                <w:lang w:val="en-US" w:eastAsia="zh-CN"/>
              </w:rPr>
              <w:t>；四</w:t>
            </w:r>
            <w:r>
              <w:rPr>
                <w:rFonts w:hint="default" w:eastAsia="方正仿宋_GBK"/>
                <w:sz w:val="28"/>
                <w:szCs w:val="28"/>
                <w:lang w:val="en-US" w:eastAsia="zh-CN"/>
              </w:rPr>
              <w:t>是</w:t>
            </w:r>
            <w:r>
              <w:rPr>
                <w:rFonts w:hint="eastAsia" w:eastAsia="方正仿宋_GBK"/>
                <w:sz w:val="28"/>
                <w:szCs w:val="28"/>
                <w:lang w:val="en-US" w:eastAsia="zh-CN"/>
              </w:rPr>
              <w:t>严格执行</w:t>
            </w:r>
            <w:r>
              <w:rPr>
                <w:rFonts w:hint="default" w:eastAsia="方正仿宋_GBK"/>
                <w:sz w:val="28"/>
                <w:szCs w:val="28"/>
                <w:lang w:val="en-US" w:eastAsia="zh-CN"/>
              </w:rPr>
              <w:t>采砂规划。按照先保护后开发、规模化开采的原则，统筹考虑砂石区域、市场平衡</w:t>
            </w:r>
            <w:r>
              <w:rPr>
                <w:rFonts w:hint="eastAsia" w:eastAsia="方正仿宋_GBK"/>
                <w:sz w:val="28"/>
                <w:szCs w:val="28"/>
                <w:lang w:val="en-US" w:eastAsia="zh-CN"/>
              </w:rPr>
              <w:t>，严格按照</w:t>
            </w:r>
            <w:r>
              <w:rPr>
                <w:rFonts w:hint="default" w:eastAsia="方正仿宋_GBK"/>
                <w:sz w:val="28"/>
                <w:szCs w:val="28"/>
                <w:lang w:val="en-US" w:eastAsia="zh-CN"/>
              </w:rPr>
              <w:t>《云南省凤庆县河道采砂规划报告</w:t>
            </w:r>
            <w:r>
              <w:rPr>
                <w:rFonts w:hint="eastAsia" w:eastAsia="方正仿宋_GBK"/>
                <w:sz w:val="28"/>
                <w:szCs w:val="28"/>
                <w:lang w:val="en-US" w:eastAsia="zh-CN"/>
              </w:rPr>
              <w:t>（</w:t>
            </w:r>
            <w:r>
              <w:rPr>
                <w:rFonts w:hint="default" w:eastAsia="方正仿宋_GBK"/>
                <w:sz w:val="28"/>
                <w:szCs w:val="28"/>
                <w:lang w:val="en-US" w:eastAsia="zh-CN"/>
              </w:rPr>
              <w:t>2021</w:t>
            </w:r>
            <w:r>
              <w:rPr>
                <w:rFonts w:hint="eastAsia" w:eastAsia="方正仿宋_GBK"/>
                <w:sz w:val="28"/>
                <w:szCs w:val="28"/>
                <w:lang w:val="en-US" w:eastAsia="zh-CN"/>
              </w:rPr>
              <w:t>—</w:t>
            </w:r>
            <w:r>
              <w:rPr>
                <w:rFonts w:hint="default" w:eastAsia="方正仿宋_GBK"/>
                <w:sz w:val="28"/>
                <w:szCs w:val="28"/>
                <w:lang w:val="en-US" w:eastAsia="zh-CN"/>
              </w:rPr>
              <w:t>2023年</w:t>
            </w:r>
            <w:r>
              <w:rPr>
                <w:rFonts w:hint="eastAsia" w:eastAsia="方正仿宋_GBK"/>
                <w:sz w:val="28"/>
                <w:szCs w:val="28"/>
                <w:lang w:val="en-US" w:eastAsia="zh-CN"/>
              </w:rPr>
              <w:t>）</w:t>
            </w:r>
            <w:r>
              <w:rPr>
                <w:rFonts w:hint="default" w:eastAsia="方正仿宋_GBK"/>
                <w:sz w:val="28"/>
                <w:szCs w:val="28"/>
                <w:lang w:val="en-US" w:eastAsia="zh-CN"/>
              </w:rPr>
              <w:t>》</w:t>
            </w:r>
            <w:r>
              <w:rPr>
                <w:rFonts w:hint="eastAsia" w:eastAsia="方正仿宋_GBK"/>
                <w:sz w:val="28"/>
                <w:szCs w:val="28"/>
                <w:lang w:val="en-US" w:eastAsia="zh-CN"/>
              </w:rPr>
              <w:t>设置砂场，</w:t>
            </w:r>
            <w:r>
              <w:rPr>
                <w:rFonts w:hint="default" w:eastAsia="方正仿宋_GBK"/>
                <w:sz w:val="28"/>
                <w:szCs w:val="28"/>
                <w:lang w:val="en-US" w:eastAsia="zh-CN"/>
              </w:rPr>
              <w:t>按照规划合理设置可采区，基本覆盖了全县13个乡镇。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方正仿宋_GBK"/>
                <w:sz w:val="28"/>
                <w:szCs w:val="28"/>
              </w:rPr>
            </w:pPr>
            <w:r>
              <w:rPr>
                <w:rFonts w:hint="eastAsia" w:eastAsia="方正仿宋_GBK"/>
                <w:sz w:val="28"/>
                <w:szCs w:val="28"/>
                <w:lang w:val="en-US" w:eastAsia="zh-CN"/>
              </w:rPr>
              <w:t>通过以上整改措施，目前采砂点已由原来的15个点取缔减少到13个，严格执行</w:t>
            </w:r>
            <w:r>
              <w:rPr>
                <w:rFonts w:hint="default" w:eastAsia="方正仿宋_GBK"/>
                <w:sz w:val="28"/>
                <w:szCs w:val="28"/>
                <w:lang w:val="en-US" w:eastAsia="zh-CN"/>
              </w:rPr>
              <w:t>《云南省凤庆县河道采砂规划报告</w:t>
            </w:r>
            <w:r>
              <w:rPr>
                <w:rFonts w:hint="eastAsia" w:eastAsia="方正仿宋_GBK"/>
                <w:sz w:val="28"/>
                <w:szCs w:val="28"/>
                <w:lang w:val="en-US" w:eastAsia="zh-CN"/>
              </w:rPr>
              <w:t>（</w:t>
            </w:r>
            <w:r>
              <w:rPr>
                <w:rFonts w:hint="default" w:eastAsia="方正仿宋_GBK"/>
                <w:sz w:val="28"/>
                <w:szCs w:val="28"/>
                <w:lang w:val="en-US" w:eastAsia="zh-CN"/>
              </w:rPr>
              <w:t>2021</w:t>
            </w:r>
            <w:r>
              <w:rPr>
                <w:rFonts w:hint="eastAsia" w:eastAsia="方正仿宋_GBK"/>
                <w:sz w:val="28"/>
                <w:szCs w:val="28"/>
                <w:lang w:val="en-US" w:eastAsia="zh-CN"/>
              </w:rPr>
              <w:t>—</w:t>
            </w:r>
            <w:r>
              <w:rPr>
                <w:rFonts w:hint="default" w:eastAsia="方正仿宋_GBK"/>
                <w:sz w:val="28"/>
                <w:szCs w:val="28"/>
                <w:lang w:val="en-US" w:eastAsia="zh-CN"/>
              </w:rPr>
              <w:t>2023年</w:t>
            </w:r>
            <w:r>
              <w:rPr>
                <w:rFonts w:hint="eastAsia" w:eastAsia="方正仿宋_GBK"/>
                <w:sz w:val="28"/>
                <w:szCs w:val="28"/>
                <w:lang w:val="en-US" w:eastAsia="zh-CN"/>
              </w:rPr>
              <w:t>）</w:t>
            </w:r>
            <w:r>
              <w:rPr>
                <w:rFonts w:hint="default" w:eastAsia="方正仿宋_GBK"/>
                <w:sz w:val="28"/>
                <w:szCs w:val="28"/>
                <w:lang w:val="en-US" w:eastAsia="zh-CN"/>
              </w:rPr>
              <w:t>》</w:t>
            </w:r>
            <w:r>
              <w:rPr>
                <w:rFonts w:hint="eastAsia" w:eastAsia="方正仿宋_GBK"/>
                <w:sz w:val="28"/>
                <w:szCs w:val="28"/>
                <w:lang w:val="en-US" w:eastAsia="zh-CN"/>
              </w:rPr>
              <w:t>，全县砂厂布局已经合理并运行有序，已经按照反馈问题完成整改及县级初验。</w:t>
            </w:r>
          </w:p>
        </w:tc>
        <w:tc>
          <w:tcPr>
            <w:tcW w:w="10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责任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单位</w:t>
            </w:r>
          </w:p>
        </w:tc>
        <w:tc>
          <w:tcPr>
            <w:tcW w:w="10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凤庆县水务局</w:t>
            </w:r>
          </w:p>
        </w:tc>
        <w:tc>
          <w:tcPr>
            <w:tcW w:w="8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整改时限</w:t>
            </w:r>
          </w:p>
        </w:tc>
        <w:tc>
          <w:tcPr>
            <w:tcW w:w="7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2023年6月30日前</w:t>
            </w:r>
          </w:p>
        </w:tc>
        <w:tc>
          <w:tcPr>
            <w:tcW w:w="9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完成情况</w:t>
            </w: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 xml:space="preserve">规定时限完成    </w:t>
            </w:r>
            <w:r>
              <w:rPr>
                <w:rFonts w:hint="eastAsia" w:ascii="方正仿宋_GBK" w:hAnsi="方正仿宋_GBK" w:eastAsia="方正仿宋_GBK" w:cs="方正仿宋_GBK"/>
                <w:b w:val="0"/>
                <w:bCs w:val="0"/>
                <w:color w:val="000000"/>
                <w:spacing w:val="0"/>
                <w:kern w:val="2"/>
                <w:sz w:val="24"/>
                <w:szCs w:val="24"/>
                <w:highlight w:val="none"/>
                <w:lang w:val="en-US" w:eastAsia="zh-CN" w:bidi="ar-S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3" w:hRule="atLeast"/>
        </w:trPr>
        <w:tc>
          <w:tcPr>
            <w:tcW w:w="7875" w:type="dxa"/>
            <w:gridSpan w:val="7"/>
            <w:vMerge w:val="continue"/>
            <w:noWrap w:val="0"/>
            <w:vAlign w:val="center"/>
          </w:tcPr>
          <w:p>
            <w:pPr>
              <w:adjustRightInd w:val="0"/>
              <w:snapToGrid w:val="0"/>
              <w:spacing w:line="560" w:lineRule="exact"/>
            </w:pPr>
          </w:p>
        </w:tc>
        <w:tc>
          <w:tcPr>
            <w:tcW w:w="10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p>
        </w:tc>
        <w:tc>
          <w:tcPr>
            <w:tcW w:w="105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p>
        </w:tc>
        <w:tc>
          <w:tcPr>
            <w:tcW w:w="8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p>
        </w:tc>
        <w:tc>
          <w:tcPr>
            <w:tcW w:w="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p>
        </w:tc>
        <w:tc>
          <w:tcPr>
            <w:tcW w:w="9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b w:val="0"/>
                <w:bCs w:val="0"/>
                <w:color w:val="000000"/>
                <w:spacing w:val="0"/>
                <w:kern w:val="2"/>
                <w:sz w:val="24"/>
                <w:szCs w:val="24"/>
                <w:highlight w:val="none"/>
                <w:lang w:val="en-US" w:eastAsia="zh-CN" w:bidi="ar-SA"/>
              </w:rPr>
            </w:pPr>
            <w:r>
              <w:rPr>
                <w:rFonts w:hint="eastAsia" w:ascii="方正仿宋_GBK" w:hAnsi="方正仿宋_GBK" w:eastAsia="方正仿宋_GBK" w:cs="方正仿宋_GBK"/>
                <w:b w:val="0"/>
                <w:bCs w:val="0"/>
                <w:color w:val="000000"/>
                <w:spacing w:val="0"/>
                <w:kern w:val="2"/>
                <w:sz w:val="24"/>
                <w:szCs w:val="24"/>
                <w:highlight w:val="none"/>
                <w:lang w:val="en-US" w:eastAsia="zh-CN" w:bidi="ar-SA"/>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1119" w:hRule="atLeast"/>
        </w:trPr>
        <w:tc>
          <w:tcPr>
            <w:tcW w:w="16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val="0"/>
                <w:color w:val="000000"/>
                <w:sz w:val="28"/>
                <w:szCs w:val="28"/>
              </w:rPr>
            </w:pPr>
            <w:r>
              <w:rPr>
                <w:rFonts w:hint="eastAsia" w:ascii="Times New Roman" w:hAnsi="Times New Roman" w:eastAsia="方正仿宋_GBK" w:cs="Times New Roman"/>
                <w:b/>
                <w:bCs w:val="0"/>
                <w:color w:val="000000"/>
                <w:sz w:val="28"/>
                <w:szCs w:val="28"/>
                <w:lang w:eastAsia="zh-CN"/>
              </w:rPr>
              <w:t>环境</w:t>
            </w:r>
            <w:r>
              <w:rPr>
                <w:rFonts w:hint="default" w:ascii="Times New Roman" w:hAnsi="Times New Roman" w:eastAsia="方正仿宋_GBK" w:cs="Times New Roman"/>
                <w:b/>
                <w:bCs w:val="0"/>
                <w:color w:val="000000"/>
                <w:sz w:val="28"/>
                <w:szCs w:val="28"/>
              </w:rPr>
              <w:t>违法</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行为查处</w:t>
            </w:r>
          </w:p>
        </w:tc>
        <w:tc>
          <w:tcPr>
            <w:tcW w:w="18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是</w:t>
            </w:r>
            <w:r>
              <w:rPr>
                <w:rFonts w:hint="default" w:ascii="Times New Roman" w:hAnsi="Times New Roman" w:eastAsia="方正仿宋_GBK" w:cs="Times New Roman"/>
                <w:b/>
                <w:bCs w:val="0"/>
                <w:color w:val="000000"/>
                <w:sz w:val="32"/>
                <w:szCs w:val="32"/>
                <w:lang w:eastAsia="zh-CN"/>
              </w:rPr>
              <w:sym w:font="Wingdings 2" w:char="00A3"/>
            </w:r>
            <w:r>
              <w:rPr>
                <w:rFonts w:hint="default" w:ascii="Times New Roman" w:hAnsi="Times New Roman" w:eastAsia="方正仿宋_GBK" w:cs="Times New Roman"/>
                <w:b/>
                <w:bCs w:val="0"/>
                <w:color w:val="000000"/>
                <w:sz w:val="28"/>
                <w:szCs w:val="28"/>
              </w:rPr>
              <w:t xml:space="preserve"> 否</w:t>
            </w:r>
            <w:r>
              <w:rPr>
                <w:rFonts w:hint="default" w:ascii="Times New Roman" w:hAnsi="Times New Roman" w:eastAsia="方正仿宋_GBK" w:cs="Times New Roman"/>
                <w:b/>
                <w:bCs w:val="0"/>
                <w:color w:val="000000"/>
                <w:sz w:val="32"/>
                <w:szCs w:val="32"/>
                <w:lang w:eastAsia="zh-CN"/>
              </w:rPr>
              <w:sym w:font="Wingdings 2" w:char="0052"/>
            </w:r>
          </w:p>
        </w:tc>
        <w:tc>
          <w:tcPr>
            <w:tcW w:w="176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val="0"/>
                <w:color w:val="000000"/>
                <w:sz w:val="28"/>
                <w:szCs w:val="28"/>
              </w:rPr>
              <w:t>责任单位</w:t>
            </w:r>
          </w:p>
        </w:tc>
        <w:tc>
          <w:tcPr>
            <w:tcW w:w="215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p>
        </w:tc>
        <w:tc>
          <w:tcPr>
            <w:tcW w:w="163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办理情况</w:t>
            </w:r>
          </w:p>
        </w:tc>
        <w:tc>
          <w:tcPr>
            <w:tcW w:w="570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lang w:val="en-US" w:eastAsia="zh-CN"/>
              </w:rPr>
            </w:pPr>
            <w:r>
              <w:rPr>
                <w:rFonts w:hint="eastAsia" w:ascii="Times New Roman" w:hAnsi="Times New Roman" w:eastAsia="方正仿宋_GBK" w:cs="Times New Roman"/>
                <w:b/>
                <w:bCs w:val="0"/>
                <w:color w:val="000000"/>
                <w:sz w:val="28"/>
                <w:szCs w:val="28"/>
                <w:lang w:val="en-US" w:eastAsia="zh-CN"/>
              </w:rPr>
              <w:t>各部门现场检查后未发现各类违法行为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1119" w:hRule="atLeast"/>
        </w:trPr>
        <w:tc>
          <w:tcPr>
            <w:tcW w:w="16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责任追究</w:t>
            </w:r>
          </w:p>
        </w:tc>
        <w:tc>
          <w:tcPr>
            <w:tcW w:w="18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是</w:t>
            </w:r>
            <w:r>
              <w:rPr>
                <w:rFonts w:hint="default" w:ascii="Times New Roman" w:hAnsi="Times New Roman" w:eastAsia="方正仿宋_GBK" w:cs="Times New Roman"/>
                <w:b/>
                <w:bCs w:val="0"/>
                <w:color w:val="000000"/>
                <w:sz w:val="32"/>
                <w:szCs w:val="32"/>
                <w:lang w:eastAsia="zh-CN"/>
              </w:rPr>
              <w:sym w:font="Wingdings 2" w:char="00A3"/>
            </w:r>
            <w:r>
              <w:rPr>
                <w:rFonts w:hint="default" w:ascii="Times New Roman" w:hAnsi="Times New Roman" w:eastAsia="方正仿宋_GBK" w:cs="Times New Roman"/>
                <w:b/>
                <w:bCs w:val="0"/>
                <w:color w:val="000000"/>
                <w:sz w:val="28"/>
                <w:szCs w:val="28"/>
                <w:lang w:val="en-US" w:eastAsia="zh-CN"/>
              </w:rPr>
              <w:t xml:space="preserve"> </w:t>
            </w:r>
            <w:r>
              <w:rPr>
                <w:rFonts w:hint="default" w:ascii="Times New Roman" w:hAnsi="Times New Roman" w:eastAsia="方正仿宋_GBK" w:cs="Times New Roman"/>
                <w:b/>
                <w:bCs w:val="0"/>
                <w:color w:val="000000"/>
                <w:sz w:val="28"/>
                <w:szCs w:val="28"/>
              </w:rPr>
              <w:t>否</w:t>
            </w:r>
            <w:r>
              <w:rPr>
                <w:rFonts w:hint="default" w:ascii="Times New Roman" w:hAnsi="Times New Roman" w:eastAsia="方正仿宋_GBK" w:cs="Times New Roman"/>
                <w:b/>
                <w:bCs w:val="0"/>
                <w:color w:val="000000"/>
                <w:sz w:val="32"/>
                <w:szCs w:val="32"/>
                <w:lang w:eastAsia="zh-CN"/>
              </w:rPr>
              <w:sym w:font="Wingdings 2" w:char="0052"/>
            </w:r>
            <w:r>
              <w:rPr>
                <w:rFonts w:hint="default" w:ascii="Times New Roman" w:hAnsi="Times New Roman" w:eastAsia="方正仿宋_GBK" w:cs="Times New Roman"/>
                <w:b/>
                <w:bCs w:val="0"/>
                <w:color w:val="000000"/>
                <w:sz w:val="28"/>
                <w:szCs w:val="28"/>
              </w:rPr>
              <w:t xml:space="preserve"> </w:t>
            </w:r>
          </w:p>
        </w:tc>
        <w:tc>
          <w:tcPr>
            <w:tcW w:w="176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val="0"/>
                <w:color w:val="000000"/>
                <w:sz w:val="28"/>
                <w:szCs w:val="28"/>
              </w:rPr>
              <w:t>责任单位</w:t>
            </w:r>
          </w:p>
        </w:tc>
        <w:tc>
          <w:tcPr>
            <w:tcW w:w="215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p>
        </w:tc>
        <w:tc>
          <w:tcPr>
            <w:tcW w:w="163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sz w:val="28"/>
                <w:szCs w:val="28"/>
              </w:rPr>
              <w:t>办理情况</w:t>
            </w:r>
          </w:p>
        </w:tc>
        <w:tc>
          <w:tcPr>
            <w:tcW w:w="570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1119" w:hRule="atLeast"/>
        </w:trPr>
        <w:tc>
          <w:tcPr>
            <w:tcW w:w="1689" w:type="dxa"/>
            <w:gridSpan w:val="2"/>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信息公开</w:t>
            </w:r>
          </w:p>
        </w:tc>
        <w:tc>
          <w:tcPr>
            <w:tcW w:w="1890" w:type="dxa"/>
            <w:gridSpan w:val="2"/>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是</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否☑</w:t>
            </w:r>
          </w:p>
        </w:tc>
        <w:tc>
          <w:tcPr>
            <w:tcW w:w="1763" w:type="dxa"/>
            <w:vAlign w:val="center"/>
          </w:tcPr>
          <w:p>
            <w:pPr>
              <w:adjustRightInd w:val="0"/>
              <w:snapToGrid w:val="0"/>
              <w:spacing w:line="560" w:lineRule="exact"/>
              <w:jc w:val="cente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信息公开</w:t>
            </w:r>
          </w:p>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链接</w:t>
            </w:r>
          </w:p>
        </w:tc>
        <w:tc>
          <w:tcPr>
            <w:tcW w:w="9496" w:type="dxa"/>
            <w:gridSpan w:val="11"/>
            <w:vAlign w:val="center"/>
          </w:tcPr>
          <w:p>
            <w:pPr>
              <w:pStyle w:val="11"/>
              <w:numPr>
                <w:ilvl w:val="0"/>
                <w:numId w:val="0"/>
              </w:num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960" w:hRule="atLeast"/>
        </w:trPr>
        <w:tc>
          <w:tcPr>
            <w:tcW w:w="1689" w:type="dxa"/>
            <w:gridSpan w:val="2"/>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群众满意</w:t>
            </w:r>
          </w:p>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度调查</w:t>
            </w:r>
          </w:p>
        </w:tc>
        <w:tc>
          <w:tcPr>
            <w:tcW w:w="1890" w:type="dxa"/>
            <w:gridSpan w:val="2"/>
            <w:vAlign w:val="center"/>
          </w:tcPr>
          <w:p>
            <w:pPr>
              <w:adjustRightInd w:val="0"/>
              <w:snapToGrid w:val="0"/>
              <w:spacing w:line="560" w:lineRule="exact"/>
              <w:jc w:val="cente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是</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否</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
        </w:tc>
        <w:tc>
          <w:tcPr>
            <w:tcW w:w="1763" w:type="dxa"/>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责任单位</w:t>
            </w:r>
          </w:p>
        </w:tc>
        <w:tc>
          <w:tcPr>
            <w:tcW w:w="2158" w:type="dxa"/>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凤庆县水务局</w:t>
            </w:r>
          </w:p>
        </w:tc>
        <w:tc>
          <w:tcPr>
            <w:tcW w:w="1637" w:type="dxa"/>
            <w:gridSpan w:val="4"/>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调查情况</w:t>
            </w:r>
          </w:p>
        </w:tc>
        <w:tc>
          <w:tcPr>
            <w:tcW w:w="5701" w:type="dxa"/>
            <w:gridSpan w:val="6"/>
            <w:vAlign w:val="center"/>
          </w:tcPr>
          <w:p>
            <w:pPr>
              <w:adjustRightInd w:val="0"/>
              <w:snapToGrid w:val="0"/>
              <w:spacing w:line="560" w:lineRule="exact"/>
              <w:jc w:val="center"/>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对砂场周边的人家开展满意度调查满意度</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3301" w:hRule="atLeast"/>
        </w:trPr>
        <w:tc>
          <w:tcPr>
            <w:tcW w:w="1689" w:type="dxa"/>
            <w:gridSpan w:val="2"/>
            <w:vAlign w:val="center"/>
          </w:tcPr>
          <w:p>
            <w:pPr>
              <w:adjustRightInd w:val="0"/>
              <w:snapToGrid w:val="0"/>
              <w:spacing w:line="560" w:lineRule="exact"/>
              <w:jc w:val="cente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lang w:eastAsia="zh-CN"/>
                <w14:textFill>
                  <w14:solidFill>
                    <w14:schemeClr w14:val="tx1"/>
                  </w14:solidFill>
                </w14:textFill>
              </w:rPr>
              <w:t>对自查自验的</w:t>
            </w:r>
            <w:r>
              <w:rPr>
                <w:rFonts w:hint="default" w:ascii="Times New Roman" w:hAnsi="Times New Roman" w:eastAsia="仿宋_GB2312" w:cs="Times New Roman"/>
                <w:b/>
                <w:bCs/>
                <w:color w:val="000000" w:themeColor="text1"/>
                <w:sz w:val="28"/>
                <w:szCs w:val="28"/>
                <w14:textFill>
                  <w14:solidFill>
                    <w14:schemeClr w14:val="tx1"/>
                  </w14:solidFill>
                </w14:textFill>
              </w:rPr>
              <w:t>结论认定</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及签字</w:t>
            </w:r>
          </w:p>
        </w:tc>
        <w:tc>
          <w:tcPr>
            <w:tcW w:w="13149" w:type="dxa"/>
            <w:gridSpan w:val="14"/>
            <w:vAlign w:val="top"/>
          </w:tcPr>
          <w:p>
            <w:pPr>
              <w:adjustRightInd w:val="0"/>
              <w:snapToGrid w:val="0"/>
              <w:spacing w:line="560" w:lineRule="exact"/>
              <w:jc w:val="lef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经材料核实和现场核实，符合验收要求，同意上报组织验收。（参加验收的人员</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需包括配合整改单位分管领导、责任人员等，需</w:t>
            </w:r>
            <w:r>
              <w:rPr>
                <w:rFonts w:hint="eastAsia" w:ascii="Times New Roman" w:hAnsi="Times New Roman" w:eastAsia="仿宋_GB2312" w:cs="Times New Roman"/>
                <w:b/>
                <w:bCs/>
                <w:color w:val="000000" w:themeColor="text1"/>
                <w:sz w:val="28"/>
                <w:szCs w:val="28"/>
                <w14:textFill>
                  <w14:solidFill>
                    <w14:schemeClr w14:val="tx1"/>
                  </w14:solidFill>
                </w14:textFill>
              </w:rPr>
              <w:t>全员</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手写</w:t>
            </w:r>
            <w:r>
              <w:rPr>
                <w:rFonts w:hint="eastAsia" w:ascii="Times New Roman" w:hAnsi="Times New Roman" w:eastAsia="仿宋_GB2312" w:cs="Times New Roman"/>
                <w:b/>
                <w:bCs/>
                <w:color w:val="000000" w:themeColor="text1"/>
                <w:sz w:val="28"/>
                <w:szCs w:val="28"/>
                <w14:textFill>
                  <w14:solidFill>
                    <w14:schemeClr w14:val="tx1"/>
                  </w14:solidFill>
                </w14:textFill>
              </w:rPr>
              <w:t>签字确认，并另附参加验收人员一览表写明验收人员姓名、单位和职务等信息。）</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p>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Times New Roman" w:hAnsi="Times New Roman" w:eastAsia="方正仿宋_GBK" w:cs="Times New Roman"/>
          <w:b/>
          <w:bCs/>
          <w:lang w:eastAsia="zh-CN"/>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w:t>
      </w:r>
    </w:p>
    <w:sectPr>
      <w:footerReference r:id="rId3" w:type="default"/>
      <w:pgSz w:w="16838" w:h="11906" w:orient="landscape"/>
      <w:pgMar w:top="1587" w:right="2098" w:bottom="1417" w:left="1701" w:header="851" w:footer="1134" w:gutter="0"/>
      <w:pgNumType w:fmt="decimal"/>
      <w:cols w:space="0" w:num="1"/>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TZmYWEwMzczNGRlNjdiN2NhYmEwOTA2ZjYyMzAifQ=="/>
  </w:docVars>
  <w:rsids>
    <w:rsidRoot w:val="00000000"/>
    <w:rsid w:val="000E62EA"/>
    <w:rsid w:val="017E6D4D"/>
    <w:rsid w:val="019978BC"/>
    <w:rsid w:val="02104CD2"/>
    <w:rsid w:val="02C90020"/>
    <w:rsid w:val="02D52B76"/>
    <w:rsid w:val="03265180"/>
    <w:rsid w:val="03B1713F"/>
    <w:rsid w:val="071163B3"/>
    <w:rsid w:val="07B74F40"/>
    <w:rsid w:val="0A24663D"/>
    <w:rsid w:val="0D8541AF"/>
    <w:rsid w:val="0DC6538F"/>
    <w:rsid w:val="0DCA2888"/>
    <w:rsid w:val="0DCD726B"/>
    <w:rsid w:val="0E1B4581"/>
    <w:rsid w:val="0F690CF3"/>
    <w:rsid w:val="10234F21"/>
    <w:rsid w:val="103233B6"/>
    <w:rsid w:val="10623475"/>
    <w:rsid w:val="106E2FF6"/>
    <w:rsid w:val="124F566B"/>
    <w:rsid w:val="13AC60B8"/>
    <w:rsid w:val="13C407C9"/>
    <w:rsid w:val="13F462DB"/>
    <w:rsid w:val="14D426B0"/>
    <w:rsid w:val="14F27745"/>
    <w:rsid w:val="172F4AF3"/>
    <w:rsid w:val="17DF606D"/>
    <w:rsid w:val="1890336F"/>
    <w:rsid w:val="19657DA4"/>
    <w:rsid w:val="19C26AA9"/>
    <w:rsid w:val="1A7867B1"/>
    <w:rsid w:val="1AA749A0"/>
    <w:rsid w:val="1CD513E5"/>
    <w:rsid w:val="1D091942"/>
    <w:rsid w:val="1F933745"/>
    <w:rsid w:val="1FD44489"/>
    <w:rsid w:val="20CC6F0F"/>
    <w:rsid w:val="21DB08B9"/>
    <w:rsid w:val="225371D1"/>
    <w:rsid w:val="24194B61"/>
    <w:rsid w:val="251C42D8"/>
    <w:rsid w:val="255143B7"/>
    <w:rsid w:val="26036728"/>
    <w:rsid w:val="27005B64"/>
    <w:rsid w:val="27277AD4"/>
    <w:rsid w:val="29557274"/>
    <w:rsid w:val="2BDC57A5"/>
    <w:rsid w:val="2CC96EBA"/>
    <w:rsid w:val="2CFE0E12"/>
    <w:rsid w:val="2D61515B"/>
    <w:rsid w:val="2E505623"/>
    <w:rsid w:val="2F6B77E5"/>
    <w:rsid w:val="30330F57"/>
    <w:rsid w:val="3038636F"/>
    <w:rsid w:val="3145366E"/>
    <w:rsid w:val="32AB6A52"/>
    <w:rsid w:val="32FF4F22"/>
    <w:rsid w:val="336105F8"/>
    <w:rsid w:val="336254B1"/>
    <w:rsid w:val="33C812A1"/>
    <w:rsid w:val="35AA133E"/>
    <w:rsid w:val="36A95A00"/>
    <w:rsid w:val="36B50719"/>
    <w:rsid w:val="3764396F"/>
    <w:rsid w:val="38947917"/>
    <w:rsid w:val="39F47265"/>
    <w:rsid w:val="3AD2717E"/>
    <w:rsid w:val="3C3A3B60"/>
    <w:rsid w:val="3D257C7B"/>
    <w:rsid w:val="3E2B2D39"/>
    <w:rsid w:val="3E506F79"/>
    <w:rsid w:val="3EEA117C"/>
    <w:rsid w:val="3F827606"/>
    <w:rsid w:val="3FB35AAF"/>
    <w:rsid w:val="40151CD8"/>
    <w:rsid w:val="404B4554"/>
    <w:rsid w:val="40BA3D45"/>
    <w:rsid w:val="45D16BF2"/>
    <w:rsid w:val="470D5A07"/>
    <w:rsid w:val="478343C6"/>
    <w:rsid w:val="47D91D8D"/>
    <w:rsid w:val="47F210A1"/>
    <w:rsid w:val="481568F6"/>
    <w:rsid w:val="48B412F3"/>
    <w:rsid w:val="4C0A0767"/>
    <w:rsid w:val="4C261DB0"/>
    <w:rsid w:val="4C373527"/>
    <w:rsid w:val="4C481290"/>
    <w:rsid w:val="4C660281"/>
    <w:rsid w:val="4D2515D1"/>
    <w:rsid w:val="4E173610"/>
    <w:rsid w:val="4E6415E4"/>
    <w:rsid w:val="4E7C3473"/>
    <w:rsid w:val="4EE25D42"/>
    <w:rsid w:val="4EE74D90"/>
    <w:rsid w:val="4EF27A04"/>
    <w:rsid w:val="5090254B"/>
    <w:rsid w:val="50F71765"/>
    <w:rsid w:val="517119D8"/>
    <w:rsid w:val="519A16DC"/>
    <w:rsid w:val="52AD1442"/>
    <w:rsid w:val="53022C52"/>
    <w:rsid w:val="5572523E"/>
    <w:rsid w:val="565A09B2"/>
    <w:rsid w:val="568E01E7"/>
    <w:rsid w:val="575F6FB6"/>
    <w:rsid w:val="5970401E"/>
    <w:rsid w:val="5B8C4583"/>
    <w:rsid w:val="5BB2691A"/>
    <w:rsid w:val="5D471F32"/>
    <w:rsid w:val="5DF81A8C"/>
    <w:rsid w:val="5E8D2D85"/>
    <w:rsid w:val="5FA92EE7"/>
    <w:rsid w:val="5FB143B2"/>
    <w:rsid w:val="5FB22F37"/>
    <w:rsid w:val="60D12D04"/>
    <w:rsid w:val="61133F1F"/>
    <w:rsid w:val="61602A49"/>
    <w:rsid w:val="61DF21AA"/>
    <w:rsid w:val="61F96E5C"/>
    <w:rsid w:val="62483940"/>
    <w:rsid w:val="63244BA1"/>
    <w:rsid w:val="636B5B38"/>
    <w:rsid w:val="646765FC"/>
    <w:rsid w:val="647B624F"/>
    <w:rsid w:val="64C142AF"/>
    <w:rsid w:val="656C455D"/>
    <w:rsid w:val="65DF69EE"/>
    <w:rsid w:val="65FA7647"/>
    <w:rsid w:val="66004023"/>
    <w:rsid w:val="673F620D"/>
    <w:rsid w:val="68242796"/>
    <w:rsid w:val="6893049E"/>
    <w:rsid w:val="68E45BC0"/>
    <w:rsid w:val="699E02E9"/>
    <w:rsid w:val="69FB1765"/>
    <w:rsid w:val="6A3C022E"/>
    <w:rsid w:val="6A5F7356"/>
    <w:rsid w:val="6A61061A"/>
    <w:rsid w:val="6A8219B9"/>
    <w:rsid w:val="6B664402"/>
    <w:rsid w:val="6C0E79A8"/>
    <w:rsid w:val="6C292A34"/>
    <w:rsid w:val="6E0A1AD9"/>
    <w:rsid w:val="6FE258A8"/>
    <w:rsid w:val="70197B34"/>
    <w:rsid w:val="70B329FD"/>
    <w:rsid w:val="71127A31"/>
    <w:rsid w:val="71330F05"/>
    <w:rsid w:val="71353C29"/>
    <w:rsid w:val="71C16F04"/>
    <w:rsid w:val="72E02E31"/>
    <w:rsid w:val="72E66F89"/>
    <w:rsid w:val="72FD1973"/>
    <w:rsid w:val="73647B11"/>
    <w:rsid w:val="74186037"/>
    <w:rsid w:val="75141FA6"/>
    <w:rsid w:val="75BF7F65"/>
    <w:rsid w:val="76172849"/>
    <w:rsid w:val="76351C5D"/>
    <w:rsid w:val="765524F5"/>
    <w:rsid w:val="76CD04E1"/>
    <w:rsid w:val="76EE28B0"/>
    <w:rsid w:val="77043E82"/>
    <w:rsid w:val="792C745F"/>
    <w:rsid w:val="798928A0"/>
    <w:rsid w:val="79BD2A0E"/>
    <w:rsid w:val="79FE4490"/>
    <w:rsid w:val="7A2F7467"/>
    <w:rsid w:val="7A5C43E5"/>
    <w:rsid w:val="7B9E45DB"/>
    <w:rsid w:val="7BA447AB"/>
    <w:rsid w:val="7CD016FA"/>
    <w:rsid w:val="7DE71E07"/>
    <w:rsid w:val="7E9006F1"/>
    <w:rsid w:val="7F1C0902"/>
    <w:rsid w:val="7FD66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widowControl/>
      <w:spacing w:before="240" w:after="60"/>
      <w:jc w:val="left"/>
      <w:outlineLvl w:val="1"/>
    </w:pPr>
    <w:rPr>
      <w:rFonts w:ascii="Cambria" w:hAnsi="Cambria"/>
      <w:b/>
      <w:bCs/>
      <w:i/>
      <w:iCs/>
      <w:kern w:val="0"/>
      <w:sz w:val="28"/>
      <w:szCs w:val="28"/>
      <w:lang w:eastAsia="en-US"/>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7">
    <w:name w:val="Plain Text"/>
    <w:basedOn w:val="1"/>
    <w:qFormat/>
    <w:uiPriority w:val="0"/>
    <w:rPr>
      <w:rFonts w:ascii="宋体" w:hAnsi="Courier New"/>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1"/>
    <w:basedOn w:val="5"/>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6">
    <w:name w:val="font21"/>
    <w:basedOn w:val="14"/>
    <w:qFormat/>
    <w:uiPriority w:val="0"/>
    <w:rPr>
      <w:rFonts w:hint="eastAsia" w:ascii="方正仿宋_GBK" w:hAnsi="方正仿宋_GBK" w:eastAsia="方正仿宋_GBK" w:cs="方正仿宋_GBK"/>
      <w:color w:val="000000"/>
      <w:sz w:val="36"/>
      <w:szCs w:val="36"/>
      <w:u w:val="none"/>
    </w:rPr>
  </w:style>
  <w:style w:type="character" w:customStyle="1" w:styleId="17">
    <w:name w:val="font11"/>
    <w:basedOn w:val="14"/>
    <w:qFormat/>
    <w:uiPriority w:val="0"/>
    <w:rPr>
      <w:rFonts w:ascii="Arial" w:hAnsi="Arial" w:cs="Arial"/>
      <w:color w:val="000000"/>
      <w:sz w:val="36"/>
      <w:szCs w:val="36"/>
      <w:u w:val="none"/>
    </w:rPr>
  </w:style>
  <w:style w:type="character" w:customStyle="1" w:styleId="18">
    <w:name w:val="font01"/>
    <w:basedOn w:val="14"/>
    <w:qFormat/>
    <w:uiPriority w:val="0"/>
    <w:rPr>
      <w:rFonts w:hint="eastAsia" w:ascii="宋体" w:hAnsi="宋体" w:eastAsia="宋体" w:cs="宋体"/>
      <w:color w:val="000000"/>
      <w:sz w:val="36"/>
      <w:szCs w:val="36"/>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6062</Words>
  <Characters>6273</Characters>
  <Lines>0</Lines>
  <Paragraphs>0</Paragraphs>
  <TotalTime>35</TotalTime>
  <ScaleCrop>false</ScaleCrop>
  <LinksUpToDate>false</LinksUpToDate>
  <CharactersWithSpaces>8699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lenovo03</dc:creator>
  <cp:lastModifiedBy>ᝰ丶Role</cp:lastModifiedBy>
  <cp:lastPrinted>2023-07-06T02:45:00Z</cp:lastPrinted>
  <dcterms:modified xsi:type="dcterms:W3CDTF">2023-10-16T09:14:50Z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212B971736584E75A3B0E0FD39C78302_13</vt:lpwstr>
  </property>
</Properties>
</file>