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凤庆县涉企督促检查考核事项清单</w:t>
      </w:r>
    </w:p>
    <w:tbl>
      <w:tblPr>
        <w:tblStyle w:val="5"/>
        <w:tblW w:w="10229" w:type="dxa"/>
        <w:tblInd w:w="-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94"/>
        <w:gridCol w:w="1755"/>
        <w:gridCol w:w="3705"/>
        <w:gridCol w:w="159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val="0"/>
                <w:bCs w:val="0"/>
                <w:sz w:val="24"/>
                <w:szCs w:val="32"/>
                <w:vertAlign w:val="baseline"/>
                <w:lang w:eastAsia="zh-CN"/>
              </w:rPr>
            </w:pPr>
            <w:r>
              <w:rPr>
                <w:rFonts w:hint="default" w:ascii="Times New Roman" w:hAnsi="Times New Roman" w:eastAsia="方正黑体_GBK" w:cs="Times New Roman"/>
                <w:b w:val="0"/>
                <w:bCs w:val="0"/>
                <w:sz w:val="24"/>
                <w:szCs w:val="32"/>
                <w:vertAlign w:val="baseline"/>
                <w:lang w:eastAsia="zh-CN"/>
              </w:rPr>
              <w:t>序号</w:t>
            </w:r>
          </w:p>
        </w:tc>
        <w:tc>
          <w:tcPr>
            <w:tcW w:w="169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val="0"/>
                <w:bCs w:val="0"/>
                <w:sz w:val="24"/>
                <w:szCs w:val="32"/>
                <w:vertAlign w:val="baseline"/>
                <w:lang w:eastAsia="zh-CN"/>
              </w:rPr>
            </w:pPr>
            <w:r>
              <w:rPr>
                <w:rFonts w:hint="default" w:ascii="Times New Roman" w:hAnsi="Times New Roman" w:eastAsia="方正黑体_GBK" w:cs="Times New Roman"/>
                <w:b w:val="0"/>
                <w:bCs w:val="0"/>
                <w:sz w:val="24"/>
                <w:szCs w:val="32"/>
                <w:vertAlign w:val="baseline"/>
                <w:lang w:eastAsia="zh-CN"/>
              </w:rPr>
              <w:t>牵头检查部门</w:t>
            </w:r>
          </w:p>
        </w:tc>
        <w:tc>
          <w:tcPr>
            <w:tcW w:w="1755"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val="0"/>
                <w:bCs w:val="0"/>
                <w:sz w:val="24"/>
                <w:szCs w:val="32"/>
                <w:vertAlign w:val="baseline"/>
                <w:lang w:eastAsia="zh-CN"/>
              </w:rPr>
            </w:pPr>
            <w:r>
              <w:rPr>
                <w:rFonts w:hint="default" w:ascii="Times New Roman" w:hAnsi="Times New Roman" w:eastAsia="方正黑体_GBK" w:cs="Times New Roman"/>
                <w:b w:val="0"/>
                <w:bCs w:val="0"/>
                <w:sz w:val="24"/>
                <w:szCs w:val="32"/>
                <w:vertAlign w:val="baseline"/>
                <w:lang w:eastAsia="zh-CN"/>
              </w:rPr>
              <w:t>事项名称</w:t>
            </w:r>
          </w:p>
        </w:tc>
        <w:tc>
          <w:tcPr>
            <w:tcW w:w="3705"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val="0"/>
                <w:bCs w:val="0"/>
                <w:sz w:val="24"/>
                <w:szCs w:val="32"/>
                <w:vertAlign w:val="baseline"/>
                <w:lang w:eastAsia="zh-CN"/>
              </w:rPr>
            </w:pPr>
            <w:r>
              <w:rPr>
                <w:rFonts w:hint="default" w:ascii="Times New Roman" w:hAnsi="Times New Roman" w:eastAsia="方正黑体_GBK" w:cs="Times New Roman"/>
                <w:b w:val="0"/>
                <w:bCs w:val="0"/>
                <w:sz w:val="24"/>
                <w:szCs w:val="32"/>
                <w:vertAlign w:val="baseline"/>
                <w:lang w:eastAsia="zh-CN"/>
              </w:rPr>
              <w:t>设定依据</w:t>
            </w:r>
          </w:p>
        </w:tc>
        <w:tc>
          <w:tcPr>
            <w:tcW w:w="159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val="0"/>
                <w:bCs w:val="0"/>
                <w:sz w:val="24"/>
                <w:szCs w:val="32"/>
                <w:vertAlign w:val="baseline"/>
                <w:lang w:eastAsia="zh-CN"/>
              </w:rPr>
            </w:pPr>
            <w:r>
              <w:rPr>
                <w:rFonts w:hint="default" w:ascii="Times New Roman" w:hAnsi="Times New Roman" w:eastAsia="方正黑体_GBK" w:cs="Times New Roman"/>
                <w:b w:val="0"/>
                <w:bCs w:val="0"/>
                <w:sz w:val="24"/>
                <w:szCs w:val="32"/>
                <w:vertAlign w:val="baseline"/>
                <w:lang w:eastAsia="zh-CN"/>
              </w:rPr>
              <w:t>频次</w:t>
            </w:r>
          </w:p>
        </w:tc>
        <w:tc>
          <w:tcPr>
            <w:tcW w:w="735"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val="0"/>
                <w:bCs w:val="0"/>
                <w:sz w:val="24"/>
                <w:szCs w:val="32"/>
                <w:vertAlign w:val="baseline"/>
                <w:lang w:eastAsia="zh-CN"/>
              </w:rPr>
            </w:pPr>
            <w:r>
              <w:rPr>
                <w:rFonts w:hint="default" w:ascii="Times New Roman" w:hAnsi="Times New Roman" w:eastAsia="方正黑体_GBK" w:cs="Times New Roman"/>
                <w:b w:val="0"/>
                <w:bCs w:val="0"/>
                <w:sz w:val="24"/>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凤庆县发展和改革局</w:t>
            </w:r>
          </w:p>
        </w:tc>
        <w:tc>
          <w:tcPr>
            <w:tcW w:w="1755" w:type="dxa"/>
            <w:vAlign w:val="top"/>
          </w:tcPr>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对固定资产投资项目节能评估和审查意见落实情况的监督检查</w:t>
            </w:r>
          </w:p>
        </w:tc>
        <w:tc>
          <w:tcPr>
            <w:tcW w:w="3705" w:type="dxa"/>
            <w:vAlign w:val="top"/>
          </w:tcPr>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《中华人民共和国节约能源法》《固定资产投资项目节能审查办法》《企业投资项目事中事后监管办法》《市场监管总局关于全面推进“双随机、一公开”监管工作的通知》</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2</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凤庆县发展和改革局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依法必须进行招标的工程建设项目招标投标活动开展随机抽查</w:t>
            </w:r>
          </w:p>
        </w:tc>
        <w:tc>
          <w:tcPr>
            <w:tcW w:w="3705" w:type="dxa"/>
            <w:vAlign w:val="top"/>
          </w:tcPr>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中华人民共和国招标投标法》《中华人民共和国招标投标法实施条例》《必须招标的工程项目规定》《必须招标的基础设施和公用事业项目范围规定》《市场监管总局关于全面推进“双随机、一公开”监管工作的通知》</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3</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凤庆县发展和改革局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发电企业、电网企业安全生产检查</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《中华人民共和国安全生产法》《云南省电力设施保护条例》</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2次/年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4</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凤庆县发展和改革局</w:t>
            </w:r>
          </w:p>
        </w:tc>
        <w:tc>
          <w:tcPr>
            <w:tcW w:w="1755" w:type="dxa"/>
            <w:vAlign w:val="top"/>
          </w:tcPr>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政策性粮食承储企业开展粮食购销及粮食存储数量、质量、统计情况进行监督检查</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《粮食流通管理条例》《粮食流通管理条例》</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凤庆县工业商务和信息化局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工业企业节能监督检查</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《中华人民共和国节约能源法》《企业投资项目事中事后监管办法》《工业节能管理办法》《市场监管总局关于全面推进“双随机、一公开”监管工作的通知》</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凤庆县工业商务和信息化局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民爆销售企业安全检查</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《民爆物品安全管理条例》</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1次/季度</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凤庆县工业商务和信息化局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报废机动车回收拆解企业检查</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《报废机动车回收管理办法》《报废机动车回收管理办法实施细则》《云南省报废机动车回收拆解管理办法》（云南省人民政府令</w:t>
            </w:r>
            <w:r>
              <w:rPr>
                <w:rFonts w:hint="eastAsia" w:ascii="Times New Roman" w:hAnsi="Times New Roman" w:eastAsia="方正仿宋_GBK" w:cs="Times New Roman"/>
                <w:sz w:val="21"/>
                <w:szCs w:val="21"/>
                <w:vertAlign w:val="baseline"/>
                <w:lang w:val="en-US" w:eastAsia="zh-CN"/>
              </w:rPr>
              <w:t>第</w:t>
            </w:r>
            <w:r>
              <w:rPr>
                <w:rFonts w:hint="default" w:ascii="Times New Roman" w:hAnsi="Times New Roman" w:eastAsia="方正仿宋_GBK" w:cs="Times New Roman"/>
                <w:sz w:val="21"/>
                <w:szCs w:val="21"/>
                <w:vertAlign w:val="baseline"/>
                <w:lang w:val="en-US" w:eastAsia="zh-CN"/>
              </w:rPr>
              <w:t>199号公布，第222号修改</w:t>
            </w:r>
            <w:r>
              <w:rPr>
                <w:rFonts w:hint="eastAsia" w:ascii="Times New Roman" w:hAnsi="Times New Roman" w:eastAsia="方正仿宋_GBK" w:cs="Times New Roman"/>
                <w:sz w:val="21"/>
                <w:szCs w:val="21"/>
                <w:vertAlign w:val="baseline"/>
                <w:lang w:val="en-US" w:eastAsia="zh-CN"/>
              </w:rPr>
              <w:t>）</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凤庆县工业商务和信息化局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拍卖企业检查</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《拍卖管理办法》</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按比例抽查</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凤庆县工业商务和信息化局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对外劳务合作企业资质年度审核</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《对外劳务合作管理条例》</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10</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凤庆县人力资源和社会保障局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劳动保障监察日常巡视检查</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《劳动保障监察条例》《保障农民工工资支付条例》</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适时开展</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11</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凤庆县人力资源和社会保障局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集中整治拖欠农民工工资专项行动</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《劳动保障监察条例》《保障农民工工资支付条例》</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12</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凤庆县人力资源和社会保障局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清理整顿人力资源市场秩序专项行动</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《中华人民共和国劳动法》《中华人民共和国劳动合同法》《中华人民共和国就业促进法》《就业服务与就业管理规定》《人力资源市场暂行条例》等</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13</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凤庆县人力资源和社会保障局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民办职业技能培训学校年检</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根据《云南省民办职业培训学校管理办法》中第三十三条规定，各级人力资源和社会保障行政部门要对民办培训学校建立年检评估制度。</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14</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凤庆县人力资源和社会保障局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民办职业技能培训学校、技能人才评价机构、人力资源服务机构安全生产</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根据《凤庆县安全生产委员会关于印发2024年工作要点的通知》要求，严格落实行业主管部门安全生产监管责任，开展安全生产工作。</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15</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凤庆县自然资源局</w:t>
            </w:r>
          </w:p>
        </w:tc>
        <w:tc>
          <w:tcPr>
            <w:tcW w:w="175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测绘地理信息监督检查</w:t>
            </w:r>
          </w:p>
        </w:tc>
        <w:tc>
          <w:tcPr>
            <w:tcW w:w="3705"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《中华人民共和国测绘法》《国家秘密法》《测绘成果管理条例》《云南省测绘条例》</w:t>
            </w:r>
          </w:p>
        </w:tc>
        <w:tc>
          <w:tcPr>
            <w:tcW w:w="159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16</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对排放污染物的企业事业单位和其他生产经营者监督检查和监测</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《中华人民共和国环境保护法》第二十四条、《</w:t>
            </w:r>
            <w:r>
              <w:rPr>
                <w:rFonts w:hint="eastAsia" w:ascii="Times New Roman" w:hAnsi="Times New Roman" w:eastAsia="方正仿宋_GBK" w:cs="Times New Roman"/>
                <w:b w:val="0"/>
                <w:bCs w:val="0"/>
                <w:sz w:val="21"/>
                <w:szCs w:val="21"/>
                <w:vertAlign w:val="baseline"/>
                <w:lang w:eastAsia="zh-CN"/>
              </w:rPr>
              <w:t>中华人民共和国水污染防治法</w:t>
            </w:r>
            <w:r>
              <w:rPr>
                <w:rFonts w:hint="default" w:ascii="Times New Roman" w:hAnsi="Times New Roman" w:eastAsia="方正仿宋_GBK" w:cs="Times New Roman"/>
                <w:b w:val="0"/>
                <w:bCs w:val="0"/>
                <w:sz w:val="21"/>
                <w:szCs w:val="21"/>
                <w:vertAlign w:val="baseline"/>
                <w:lang w:eastAsia="zh-CN"/>
              </w:rPr>
              <w:t>》第三十条、《中华人民共和国大气污染防治法》第二十九条、《中华人民共和国大气污染防治法》第二十六条、《中华人民共和国噪声污染防治法》第二十九条、《畜禽规模殖污染防治条例》（国务院第643号令）第二十三条等</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17</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对污染源自动监控设施现场监督检查；对自动监控系统的建设、运行和维护等监督检查</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中华人民共和国水污染防治法》第二十四条、《中华人民共和国大气污染防治法》第二十五条、《污染源自动监控设施现场监督检查办法》（环境保护部第19号令）第四条、《污染源自动监控管理办法》《国家环境保护总局第28号令）第六条第三项</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18</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对重点排污单位环境信息公开活动监督检查</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《企业环境信息依法披露管理办法》（中华人民共和国生态环境部第24号令）第二十四条</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19</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对自然保护区、畜禽养殖污染防治等生态和农村环境法律法规执行情况进行检查</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《畜禽规模养殖污染防治条例》第二十三条、《环境监察办法》（2012年7月25日环境保护部令第21号）第六条第三款</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20</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建设项目环境影响评价落实情况的检查</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《中华人民共和国环境影响评价法》第二十八条、《建设项目环境保护管理条例》第二十条</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21</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涉消耗臭氧层物质（ODS）的生产、使用、销售、维修、回收、销毁及原料用途等企业和单位的监管</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《消耗臭氧层物质管理条例》（国务院令第573号）第二十五条</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22</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机动车排放检验机构的排放检验情况监督检查</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《中华人民共和国大气污染防治法》第五十四条</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23</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畜禽规模养殖污染防治检查</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《畜禽规模养殖污染防治条例》第二十三条、《环境监察办法》（2012年7月25日环境保护部令第21号）第六条第三款</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trPr>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24</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sz w:val="21"/>
                <w:szCs w:val="21"/>
                <w:vertAlign w:val="baseline"/>
                <w:lang w:eastAsia="zh-CN"/>
              </w:rPr>
            </w:pPr>
            <w:r>
              <w:rPr>
                <w:rFonts w:hint="default" w:ascii="Times New Roman" w:hAnsi="Times New Roman" w:eastAsia="方正仿宋_GBK" w:cs="Times New Roman"/>
                <w:b w:val="0"/>
                <w:bCs w:val="0"/>
                <w:sz w:val="21"/>
                <w:szCs w:val="21"/>
                <w:vertAlign w:val="baseline"/>
                <w:lang w:eastAsia="zh-CN"/>
              </w:rPr>
              <w:t>市辖区内核技术利用单位辐射</w:t>
            </w:r>
          </w:p>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安全和防护监督检查</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《中华人民共和国放射性污染防治法》第十一条、《放射线同位素与射线装置安全和防护条例》第四十六条</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对辖区内使用放射源及Ⅱ类射线装置的核技术利用单位抽查比例不低于100%；使用Ⅲ类射线装置的核技术利用单位抽查比例不低于20%，持证期间内至少抽查1次。每年1次。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25</w:t>
            </w:r>
          </w:p>
        </w:tc>
        <w:tc>
          <w:tcPr>
            <w:tcW w:w="1694"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临沧市生态环境局凤庆分局</w:t>
            </w:r>
          </w:p>
        </w:tc>
        <w:tc>
          <w:tcPr>
            <w:tcW w:w="175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生态环境监测机构联合抽查工作</w:t>
            </w:r>
          </w:p>
        </w:tc>
        <w:tc>
          <w:tcPr>
            <w:tcW w:w="3705"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left"/>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《检验检测机构资质认定管理办法》（国家质量监督检验检疫总局令第163号，2021年4月2日国家市场监督管理总局修订）、《检验检测机构监督管理办法》（国家市场监督管理总局令第39号）</w:t>
            </w:r>
          </w:p>
        </w:tc>
        <w:tc>
          <w:tcPr>
            <w:tcW w:w="1590" w:type="dxa"/>
            <w:vAlign w:val="center"/>
          </w:tcPr>
          <w:p>
            <w:pPr>
              <w:keepNext w:val="0"/>
              <w:keepLines w:val="0"/>
              <w:pageBreakBefore w:val="0"/>
              <w:widowControl w:val="0"/>
              <w:kinsoku w:val="0"/>
              <w:wordWrap/>
              <w:overflowPunct w:val="0"/>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sz w:val="21"/>
                <w:szCs w:val="21"/>
                <w:vertAlign w:val="baseline"/>
                <w:lang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26</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对城市园林绿化企业监督检查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《城市绿化条例》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27</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城市市政企业(含景观照明)监督检查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《云南省城市建设管理条例》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28</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对城市燃气企业监督检查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《城镇燃气管理条例》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top"/>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29</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城市供水企业的监督检查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《城市供水条例》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30</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城市排水排污企业监督检查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《城镇排水与污水处理条例》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31</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城市污水处理企业监督检查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《城镇排水与污水处理条例》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31</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建筑节能强制性标准执行情况监督检</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《民用建筑节能条例》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33</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建设工程发承包计价活动监督检查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《建筑工程施工发包与承包计价管理办法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34</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建筑业企业资质、工程监理企业监督检查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《中华人民共和国建筑法》《建筑业企业资质管理规定》《工程监理企业资质管理规定》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35</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建设工程质量检测活动监督检查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《中华人民共和国建筑法》《建设工程质量检测管理办法》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36</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建筑工程抗震设防监督检查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《建设工程抗震管理条例》《云南省建设工程抗震设防管理条例》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37</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对施工图审查机构监督检查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《房屋建筑和市政基础设施工程施工图设计文件审查管理办法》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38</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对工程勘察、设计企业的监督检查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《建设工程勘察设计管理条例》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39</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房地产开发经营活动监督检查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《城市房地产开发经营管理条例》《房地产开发企业资质管理规定》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40</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房地产估价机构监督检查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《房地产估价机构管理办法》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41</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房地产经纪机构监督检查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《房地产经纪管理办法》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42</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物业管理活动监督检查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《物业管理条例》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43</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城市生活餐厨垃圾收运、处理的检查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《城市生活垃圾处理办法》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44</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w:t>
            </w:r>
            <w:r>
              <w:rPr>
                <w:rFonts w:hint="default" w:ascii="Times New Roman" w:hAnsi="Times New Roman" w:eastAsia="方正仿宋_GBK" w:cs="Times New Roman"/>
                <w:sz w:val="21"/>
                <w:szCs w:val="21"/>
                <w:vertAlign w:val="baseline"/>
                <w:lang w:val="en-US" w:eastAsia="zh-CN"/>
              </w:rPr>
              <w:t>住房和城乡建设局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市环卫企业检查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《云南省城市建设管理条例》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45</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对主管的在建公路、水运建设工程项目，道路、水路客运企业开展安全生产监督检查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《云南省安全生产条例》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4次/年，或是根据实际情况适时开展</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46</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城市公共交通活动监督检查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《云南省城市公共交通管理办法》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47</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道路运输经营监督检查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《中华人民共和国道路运输条例》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48</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地方公路监管</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《中华人民共和国公路法》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12次/年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49</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1.水路运输企业安全监管履职情况2.水路运输企业安全生产主体责任、规范管理、经营制度落实情况</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《中华人民共和国国内水路运输管理条例》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50</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通航安全监督检</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《中华人民共和国水上水下作业和活动通航安全管理规定》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51</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客运企业质量信誉考核</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《中华人民共和国道路运输条例》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《交通运输部道路旅客运输及站场管理规定》《交通运输部道路运输企业质量信誉考核办法》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52</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货运企业质量信誉考核</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《中华人民共和国道路运输条例》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《交通运输部道路货物运输及站场管理规定》《交通运输部道路运输企业质量信誉考核办法》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53</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维修企业质量信誉考核</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《中华人民共和国道路运输条例》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《交通运输部机动车维修管理规定》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54</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驾驶培训学校质量信誉考核</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《中华人民共和国道路运输条例》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《交通运输部机动车驾驶员培训管理规定》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55</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出租汽车企业质量信誉考核</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《中华人民共和国道路运输条例》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《交通运输部出租汽车服务质量信誉考核办法》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56</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凤庆县交通运输局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汽车租赁企业质量信誉考核</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《交通运输部小微型客车租赁经营服务管理办法办法》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1次/年</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57</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河道采砂监督检查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《中华人民共和国河道管理条例》第四条、第八条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58</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对水土保持方案实施情况及水土保持设施运行情况监督检查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《中华人民共和国水土保持法》第二十九条、第四十三条</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《云南省水土保持条例》第三十三条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59</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对水利工程建设项目招标投标活动行政检查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《中华人民共和国招标投标法》第四十九条、第六十一条、第七条</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《国务院办公厅印发国务院有关部门实施招标投标活动行政监督的职责分工的意见》《水利工程建设项目招标投标管理规定》（2001年水利部令第14号）第七条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60</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对水利工程质量检测单位及其检测活动监督检查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《水利工程质量检测管理规定》第二十一条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61</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对防汛抗洪工作的行政检查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《中华人民共和国水法》第五十九条、《中华人民共和国防洪法》第八条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62</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对水利工程建设安全生产的行政检查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《中华人民共和国安全生产法》第五十九条、《建设工程安全生产管理条例》第四十条、《水利工程建设安全生产管理规定》第二十九条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63</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水资源管理监督检查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水法》《中华人民共和国计量法》《中华人民共和国水污染防治法》《取水许可和水资源费征收管理条例》（国务院令第460号）、《取水许可管理办法》（水利部令第34号）、《云南省取水许可和水资源费征收管理办法》（省政府令第154号）、《地下水管理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64</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对单位取用水行为的行政检查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《中华人民共和国水法》第六条、第十三条</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《取水许可和水资源费征收管理条例》第三十八条、第四十五条</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《取水许可管理办法》第三条、第四十六条</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《云南省取水许可和水资源费征收管理办法》第二条、第三条、第十三条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65</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凤庆县水务局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计划和节约用水监督检查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《水利部关于印发计划用水管理办法的通知》《云南省节约用水条例》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66</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凤庆县卫生健康局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职业病危害因素监测、检查</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《中华人民共和国职业病防治法》</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67</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凤庆县卫生健康局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公共场所监督检查、采样</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《公共场所卫生管理条例》</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每年2次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68</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凤庆县卫生健康局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生活饮用水监督检查、采样</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《中华人民共和国传染病防治法》《生活饮用水卫生监督管理办法》</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每年1次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69</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凤庆县卫生健康局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餐具饮具集中消毒单位监督检查、采样</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《中华人民共和国食品安全法》</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每年2次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70</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凤庆县应急管理局</w:t>
            </w:r>
          </w:p>
        </w:tc>
        <w:tc>
          <w:tcPr>
            <w:tcW w:w="1755" w:type="dxa"/>
            <w:vAlign w:val="top"/>
          </w:tcPr>
          <w:p>
            <w:pPr>
              <w:pStyle w:val="3"/>
              <w:keepNext w:val="0"/>
              <w:keepLines w:val="0"/>
              <w:widowControl/>
              <w:suppressLineNumbers w:val="0"/>
              <w:shd w:val="clear" w:fill="FFFFFF"/>
              <w:spacing w:before="0" w:beforeAutospacing="0" w:after="0" w:afterAutospacing="0" w:line="390" w:lineRule="atLeast"/>
              <w:ind w:left="0" w:right="0" w:firstLine="0"/>
              <w:jc w:val="center"/>
              <w:rPr>
                <w:rFonts w:hint="default" w:ascii="Times New Roman" w:hAnsi="Times New Roman" w:eastAsia="方正仿宋_GBK" w:cs="Times New Roman"/>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21"/>
                <w:szCs w:val="21"/>
                <w:shd w:val="clear" w:fill="FFFFFF"/>
              </w:rPr>
              <w:t>危险化学品生产、储存、经营、</w:t>
            </w:r>
          </w:p>
          <w:p>
            <w:pPr>
              <w:pStyle w:val="3"/>
              <w:keepNext w:val="0"/>
              <w:keepLines w:val="0"/>
              <w:widowControl/>
              <w:suppressLineNumbers w:val="0"/>
              <w:shd w:val="clear" w:fill="FFFFFF"/>
              <w:spacing w:before="0" w:beforeAutospacing="0" w:after="0" w:afterAutospacing="0" w:line="390" w:lineRule="atLeast"/>
              <w:ind w:left="0" w:right="0" w:firstLine="0"/>
              <w:jc w:val="center"/>
              <w:rPr>
                <w:rFonts w:hint="default" w:ascii="Times New Roman" w:hAnsi="Times New Roman" w:eastAsia="方正仿宋_GBK" w:cs="Times New Roman"/>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21"/>
                <w:szCs w:val="21"/>
                <w:shd w:val="clear" w:fill="FFFFFF"/>
              </w:rPr>
              <w:t>使用企业安全生产监督检查</w:t>
            </w:r>
          </w:p>
          <w:p>
            <w:pPr>
              <w:jc w:val="center"/>
              <w:rPr>
                <w:rFonts w:hint="default" w:ascii="Times New Roman" w:hAnsi="Times New Roman" w:eastAsia="方正仿宋_GBK" w:cs="Times New Roman"/>
                <w:kern w:val="2"/>
                <w:sz w:val="21"/>
                <w:szCs w:val="21"/>
                <w:lang w:val="en-US" w:eastAsia="zh-CN" w:bidi="ar-SA"/>
              </w:rPr>
            </w:pPr>
          </w:p>
        </w:tc>
        <w:tc>
          <w:tcPr>
            <w:tcW w:w="370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中华人民共和国安全生产法》《危险化学品安全管理条例》《易制毒化学品管理条例》《危险化学品建设项目安全监督管理办法》《危险化学品重大危险源监督管理暂行规定》《危险化学品生产企业安全生产许可证实施办法》《危险化学品经营许可证管理办法》《危险化学品安全使用许可证实施办法》《危险化学品登记管理办法》《云南省生产经营单位安全生产主体责任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71</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凤庆县应急管理局</w:t>
            </w:r>
          </w:p>
        </w:tc>
        <w:tc>
          <w:tcPr>
            <w:tcW w:w="175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烟花爆竹经营企业安全生产监督检查</w:t>
            </w:r>
          </w:p>
        </w:tc>
        <w:tc>
          <w:tcPr>
            <w:tcW w:w="370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中华人民共和国安全生产法》《烟花爆竹安全管理条例》《烟花爆竹生产企业安全生产许可证实施办法》《烟花爆竹经营许可实施办法》《烟花爆竹生产经营安全规定》《云南省生产经营单位安全生产主体责任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72</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凤庆县应急管理局</w:t>
            </w:r>
          </w:p>
        </w:tc>
        <w:tc>
          <w:tcPr>
            <w:tcW w:w="175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冶金、有色、建材、机械、轻工、纺织、烟草、商贸等行业安全生产监督检查</w:t>
            </w:r>
          </w:p>
        </w:tc>
        <w:tc>
          <w:tcPr>
            <w:tcW w:w="370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中华人民共和国安全生产法》《生产经营单位安全培训规定》《冶金企业和有色金属企业安全生产规定》《工贸企业有限空间作业安全管理与监督暂行规定》《安全生产事故隐患排查治理暂行规定》《云南省生产经营单位安全生产主体责任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73</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凤庆县应急管理局</w:t>
            </w:r>
          </w:p>
        </w:tc>
        <w:tc>
          <w:tcPr>
            <w:tcW w:w="175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非煤矿山（含尾矿库、地质勘探、采掘施工、选矿厂）监督检查</w:t>
            </w:r>
          </w:p>
        </w:tc>
        <w:tc>
          <w:tcPr>
            <w:tcW w:w="370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中华人民共和国安全生产法》《安全生产许可证条例》《非煤矿矿山企业安全生产许可证实施办法》《非煤矿山外包工程安全管理暂行办法》《建设项目安全设施“三同时”监督管理办法》《金属与非金属矿产资源地质勘探安全生产监督管理暂行规定》《尾矿库安全监督管理规定》《小型露天采石场安全管理与监督检查规定》《云南省生产经营单位安全生产主体责任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74</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凤庆县应急管理局</w:t>
            </w:r>
          </w:p>
        </w:tc>
        <w:tc>
          <w:tcPr>
            <w:tcW w:w="1755" w:type="dxa"/>
            <w:vAlign w:val="top"/>
          </w:tcPr>
          <w:p>
            <w:pPr>
              <w:pStyle w:val="3"/>
              <w:keepNext w:val="0"/>
              <w:keepLines w:val="0"/>
              <w:widowControl/>
              <w:suppressLineNumbers w:val="0"/>
              <w:shd w:val="clear" w:fill="FFFFFF"/>
              <w:spacing w:before="0" w:beforeAutospacing="0" w:after="0" w:afterAutospacing="0" w:line="390" w:lineRule="atLeast"/>
              <w:ind w:left="0" w:right="0" w:firstLine="0"/>
              <w:jc w:val="center"/>
              <w:rPr>
                <w:rFonts w:hint="default" w:ascii="Times New Roman" w:hAnsi="Times New Roman" w:eastAsia="方正仿宋_GBK" w:cs="Times New Roman"/>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21"/>
                <w:szCs w:val="21"/>
                <w:shd w:val="clear" w:fill="FFFFFF"/>
              </w:rPr>
              <w:t>对生产经营单位安全生产情况</w:t>
            </w:r>
          </w:p>
          <w:p>
            <w:pPr>
              <w:pStyle w:val="3"/>
              <w:keepNext w:val="0"/>
              <w:keepLines w:val="0"/>
              <w:widowControl/>
              <w:suppressLineNumbers w:val="0"/>
              <w:shd w:val="clear" w:fill="FFFFFF"/>
              <w:spacing w:before="0" w:beforeAutospacing="0" w:after="0" w:afterAutospacing="0" w:line="390" w:lineRule="atLeast"/>
              <w:ind w:left="0" w:right="0" w:firstLine="0"/>
              <w:jc w:val="center"/>
              <w:rPr>
                <w:rFonts w:hint="default" w:ascii="Times New Roman" w:hAnsi="Times New Roman" w:eastAsia="方正仿宋_GBK" w:cs="Times New Roman"/>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21"/>
                <w:szCs w:val="21"/>
                <w:shd w:val="clear" w:fill="FFFFFF"/>
              </w:rPr>
              <w:t>监督检查</w:t>
            </w:r>
          </w:p>
          <w:p>
            <w:pPr>
              <w:jc w:val="center"/>
              <w:rPr>
                <w:rFonts w:hint="default" w:ascii="Times New Roman" w:hAnsi="Times New Roman" w:eastAsia="方正仿宋_GBK" w:cs="Times New Roman"/>
                <w:kern w:val="2"/>
                <w:sz w:val="21"/>
                <w:szCs w:val="21"/>
                <w:lang w:val="en-US" w:eastAsia="zh-CN" w:bidi="ar-SA"/>
              </w:rPr>
            </w:pPr>
          </w:p>
        </w:tc>
        <w:tc>
          <w:tcPr>
            <w:tcW w:w="370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《中华人民共和国安全生产法》《安全生产监管监察职责和行政执法责任追究的暂行规定》《安全生产年度监督监察计划编制办法》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75</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凤庆县应急管理局</w:t>
            </w:r>
          </w:p>
        </w:tc>
        <w:tc>
          <w:tcPr>
            <w:tcW w:w="175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对安全生产培训机构监督检查</w:t>
            </w:r>
          </w:p>
        </w:tc>
        <w:tc>
          <w:tcPr>
            <w:tcW w:w="370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《中华人民共和国安全生产法》《安全生产培训管理办法》《安全生产培训管理办法》《生产经营单位培训管理办法》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76</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凤庆县应急管理局</w:t>
            </w:r>
          </w:p>
        </w:tc>
        <w:tc>
          <w:tcPr>
            <w:tcW w:w="175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对安全评价、安全生产检测检验机构监督检查</w:t>
            </w:r>
          </w:p>
        </w:tc>
        <w:tc>
          <w:tcPr>
            <w:tcW w:w="370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《中华人民共和国安全生产法》《安全评价检测检验机构管理办法》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77</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凤庆县应急管理局</w:t>
            </w:r>
          </w:p>
        </w:tc>
        <w:tc>
          <w:tcPr>
            <w:tcW w:w="175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监管企业落实安全生产主体责任情况</w:t>
            </w:r>
          </w:p>
        </w:tc>
        <w:tc>
          <w:tcPr>
            <w:tcW w:w="3705" w:type="dxa"/>
            <w:vAlign w:val="top"/>
          </w:tcPr>
          <w:p>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aps w:val="0"/>
                <w:color w:val="000000"/>
                <w:spacing w:val="0"/>
                <w:sz w:val="21"/>
                <w:szCs w:val="21"/>
                <w:shd w:val="clear" w:fill="FFFFFF"/>
              </w:rPr>
              <w:t>《云南省安全生产条例》《非煤矿矿山企业安全生产许可证实施办法》《工贸企业有限空间作业安全管理与监督暂行规定》《冶金企业和有色金属企业安全生产规定》《危险化学品生产企业安全生产许可证实施办法》《安全评价检测检验机构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适时</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78</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凤庆县广播电视局</w:t>
            </w:r>
          </w:p>
        </w:tc>
        <w:tc>
          <w:tcPr>
            <w:tcW w:w="1755" w:type="dxa"/>
            <w:vAlign w:val="top"/>
          </w:tcPr>
          <w:p>
            <w:pPr>
              <w:jc w:val="center"/>
              <w:rPr>
                <w:rFonts w:hint="default" w:ascii="Times New Roman" w:hAnsi="Times New Roman" w:eastAsia="方正仿宋_GBK" w:cs="Times New Roman"/>
                <w:i w:val="0"/>
                <w:iCs w:val="0"/>
                <w:caps w:val="0"/>
                <w:color w:val="000000"/>
                <w:spacing w:val="0"/>
                <w:sz w:val="21"/>
                <w:szCs w:val="21"/>
                <w:shd w:val="clear" w:fill="FFFFFF"/>
              </w:rPr>
            </w:pPr>
            <w:r>
              <w:rPr>
                <w:rFonts w:hint="default" w:ascii="Times New Roman" w:hAnsi="Times New Roman" w:eastAsia="方正仿宋_GBK" w:cs="Times New Roman"/>
                <w:i w:val="0"/>
                <w:iCs w:val="0"/>
                <w:caps w:val="0"/>
                <w:color w:val="000000"/>
                <w:spacing w:val="0"/>
                <w:sz w:val="21"/>
                <w:szCs w:val="21"/>
                <w:shd w:val="clear" w:fill="FFFFFF"/>
              </w:rPr>
              <w:t>对卫星地面接收设施接收外国卫星传送的电视节目的监管检查</w:t>
            </w:r>
          </w:p>
        </w:tc>
        <w:tc>
          <w:tcPr>
            <w:tcW w:w="3705" w:type="dxa"/>
            <w:vAlign w:val="top"/>
          </w:tcPr>
          <w:p>
            <w:pPr>
              <w:jc w:val="center"/>
              <w:rPr>
                <w:rFonts w:hint="default" w:ascii="Times New Roman" w:hAnsi="Times New Roman" w:eastAsia="方正仿宋_GBK" w:cs="Times New Roman"/>
                <w:i w:val="0"/>
                <w:iCs w:val="0"/>
                <w:caps w:val="0"/>
                <w:color w:val="000000"/>
                <w:spacing w:val="0"/>
                <w:sz w:val="21"/>
                <w:szCs w:val="21"/>
                <w:shd w:val="clear" w:fill="FFFFFF"/>
              </w:rPr>
            </w:pPr>
            <w:r>
              <w:rPr>
                <w:rFonts w:hint="default" w:ascii="Times New Roman" w:hAnsi="Times New Roman" w:eastAsia="方正仿宋_GBK" w:cs="Times New Roman"/>
                <w:i w:val="0"/>
                <w:iCs w:val="0"/>
                <w:caps w:val="0"/>
                <w:color w:val="000000"/>
                <w:spacing w:val="0"/>
                <w:sz w:val="21"/>
                <w:szCs w:val="21"/>
                <w:shd w:val="clear" w:fill="FFFFFF"/>
              </w:rPr>
              <w:t>《卫星地面接收设施接收外国卫星传送电视节目管理办法》（广播电影电视部、公安部、国家安全部令1990年第1号）第三条</w:t>
            </w:r>
            <w:r>
              <w:rPr>
                <w:rFonts w:hint="eastAsia" w:ascii="Times New Roman" w:hAnsi="Times New Roman" w:eastAsia="方正仿宋_GBK" w:cs="Times New Roman"/>
                <w:i w:val="0"/>
                <w:iCs w:val="0"/>
                <w:caps w:val="0"/>
                <w:color w:val="000000"/>
                <w:spacing w:val="0"/>
                <w:sz w:val="21"/>
                <w:szCs w:val="21"/>
                <w:shd w:val="clear" w:fill="FFFFFF"/>
                <w:lang w:eastAsia="zh-CN"/>
              </w:rPr>
              <w:t>，</w:t>
            </w:r>
            <w:r>
              <w:rPr>
                <w:rFonts w:hint="default" w:ascii="Times New Roman" w:hAnsi="Times New Roman" w:eastAsia="方正仿宋_GBK" w:cs="Times New Roman"/>
                <w:i w:val="0"/>
                <w:iCs w:val="0"/>
                <w:caps w:val="0"/>
                <w:color w:val="000000"/>
                <w:spacing w:val="0"/>
                <w:sz w:val="21"/>
                <w:szCs w:val="21"/>
                <w:shd w:val="clear" w:fill="FFFFFF"/>
              </w:rPr>
              <w:t>《国务院关于修改部分行政法规的决定》（国务院703号令）</w:t>
            </w:r>
            <w:r>
              <w:rPr>
                <w:rFonts w:hint="default" w:ascii="Times New Roman" w:hAnsi="Times New Roman" w:eastAsia="方正仿宋_GBK" w:cs="Times New Roman"/>
                <w:i w:val="0"/>
                <w:iCs w:val="0"/>
                <w:caps w:val="0"/>
                <w:color w:val="000000"/>
                <w:spacing w:val="0"/>
                <w:sz w:val="21"/>
                <w:szCs w:val="21"/>
                <w:shd w:val="clear" w:fill="FFFFFF"/>
                <w:lang w:eastAsia="zh-CN"/>
              </w:rPr>
              <w:t>第</w:t>
            </w:r>
            <w:r>
              <w:rPr>
                <w:rFonts w:hint="default" w:ascii="Times New Roman" w:hAnsi="Times New Roman" w:eastAsia="方正仿宋_GBK" w:cs="Times New Roman"/>
                <w:i w:val="0"/>
                <w:iCs w:val="0"/>
                <w:caps w:val="0"/>
                <w:color w:val="000000"/>
                <w:spacing w:val="0"/>
                <w:sz w:val="21"/>
                <w:szCs w:val="21"/>
                <w:shd w:val="clear" w:fill="FFFFFF"/>
              </w:rPr>
              <w:t>一</w:t>
            </w:r>
            <w:r>
              <w:rPr>
                <w:rFonts w:hint="default" w:ascii="Times New Roman" w:hAnsi="Times New Roman" w:eastAsia="方正仿宋_GBK" w:cs="Times New Roman"/>
                <w:i w:val="0"/>
                <w:iCs w:val="0"/>
                <w:caps w:val="0"/>
                <w:color w:val="000000"/>
                <w:spacing w:val="0"/>
                <w:sz w:val="21"/>
                <w:szCs w:val="21"/>
                <w:shd w:val="clear" w:fill="FFFFFF"/>
                <w:lang w:eastAsia="zh-CN"/>
              </w:rPr>
              <w:t>条</w:t>
            </w:r>
            <w:r>
              <w:rPr>
                <w:rFonts w:hint="default" w:ascii="Times New Roman" w:hAnsi="Times New Roman" w:eastAsia="方正仿宋_GBK" w:cs="Times New Roman"/>
                <w:i w:val="0"/>
                <w:iCs w:val="0"/>
                <w:caps w:val="0"/>
                <w:color w:val="000000"/>
                <w:spacing w:val="0"/>
                <w:sz w:val="21"/>
                <w:szCs w:val="21"/>
                <w:shd w:val="clear" w:fill="FFFFFF"/>
              </w:rPr>
              <w:t>、第十条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000000"/>
                <w:spacing w:val="0"/>
                <w:sz w:val="21"/>
                <w:szCs w:val="21"/>
                <w:shd w:val="clear" w:fill="FFFFFF"/>
                <w:lang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每季度一次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79</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凤庆县广播电视局</w:t>
            </w:r>
          </w:p>
        </w:tc>
        <w:tc>
          <w:tcPr>
            <w:tcW w:w="1755" w:type="dxa"/>
            <w:vAlign w:val="top"/>
          </w:tcPr>
          <w:p>
            <w:pPr>
              <w:jc w:val="center"/>
              <w:rPr>
                <w:rFonts w:hint="default" w:ascii="Times New Roman" w:hAnsi="Times New Roman" w:eastAsia="方正仿宋_GBK" w:cs="Times New Roman"/>
                <w:i w:val="0"/>
                <w:iCs w:val="0"/>
                <w:caps w:val="0"/>
                <w:color w:val="000000"/>
                <w:spacing w:val="0"/>
                <w:sz w:val="21"/>
                <w:szCs w:val="21"/>
                <w:shd w:val="clear" w:fill="FFFFFF"/>
              </w:rPr>
            </w:pPr>
            <w:r>
              <w:rPr>
                <w:rFonts w:hint="default" w:ascii="Times New Roman" w:hAnsi="Times New Roman" w:eastAsia="方正仿宋_GBK" w:cs="Times New Roman"/>
                <w:i w:val="0"/>
                <w:iCs w:val="0"/>
                <w:caps w:val="0"/>
                <w:color w:val="000000"/>
                <w:spacing w:val="0"/>
                <w:sz w:val="21"/>
                <w:szCs w:val="21"/>
                <w:shd w:val="clear" w:fill="FFFFFF"/>
              </w:rPr>
              <w:t>对卫星地面接收设施的生产、销售、使用情况的检查</w:t>
            </w:r>
          </w:p>
        </w:tc>
        <w:tc>
          <w:tcPr>
            <w:tcW w:w="3705" w:type="dxa"/>
            <w:vAlign w:val="top"/>
          </w:tcPr>
          <w:p>
            <w:pPr>
              <w:jc w:val="center"/>
              <w:rPr>
                <w:rFonts w:hint="default" w:ascii="Times New Roman" w:hAnsi="Times New Roman" w:eastAsia="方正仿宋_GBK" w:cs="Times New Roman"/>
                <w:i w:val="0"/>
                <w:iCs w:val="0"/>
                <w:caps w:val="0"/>
                <w:color w:val="000000"/>
                <w:spacing w:val="0"/>
                <w:sz w:val="21"/>
                <w:szCs w:val="21"/>
                <w:shd w:val="clear" w:fill="FFFFFF"/>
              </w:rPr>
            </w:pPr>
            <w:r>
              <w:rPr>
                <w:rFonts w:hint="default" w:ascii="Times New Roman" w:hAnsi="Times New Roman" w:eastAsia="方正仿宋_GBK" w:cs="Times New Roman"/>
                <w:i w:val="0"/>
                <w:iCs w:val="0"/>
                <w:caps w:val="0"/>
                <w:color w:val="000000"/>
                <w:spacing w:val="0"/>
                <w:sz w:val="21"/>
                <w:szCs w:val="21"/>
                <w:shd w:val="clear" w:fill="FFFFFF"/>
              </w:rPr>
              <w:t>《卫星电视广播地面接收设施安装服务暂行办法》（国家广播电影电视总局令2009年第60号发布，2021年国家广电总局令第10号修正）第三条</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000000"/>
                <w:spacing w:val="0"/>
                <w:sz w:val="21"/>
                <w:szCs w:val="21"/>
                <w:shd w:val="clear" w:fill="FFFFFF"/>
                <w:lang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每季度一次</w:t>
            </w:r>
          </w:p>
        </w:tc>
        <w:tc>
          <w:tcPr>
            <w:tcW w:w="735" w:type="dxa"/>
          </w:tcPr>
          <w:p>
            <w:pP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80</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凤庆县林业和草原局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森林草原防火督查检查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《森林防火条例》《草原防火条例》《云南省森林防火条例》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81</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凤庆县林业和草原局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对林草植物及其产品的检验检疫(产地检疫、调运检疫、复检)</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《植物检疫条例实施细则(林业部分)》</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82</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凤庆县林业和草原局</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林木良种培育补贴检查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《中华人民共和国种子法》《中央财政林业补助资金管理办法》</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w:t>
            </w:r>
            <w:r>
              <w:rPr>
                <w:rFonts w:hint="eastAsia" w:ascii="Times New Roman" w:hAnsi="Times New Roman" w:eastAsia="方正仿宋_GBK" w:cs="Times New Roman"/>
                <w:sz w:val="21"/>
                <w:szCs w:val="21"/>
                <w:vertAlign w:val="baseline"/>
                <w:lang w:val="en-US" w:eastAsia="zh-CN"/>
              </w:rPr>
              <w:t>3</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县统计局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统计数据核查</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《中华人民共和国统计法》《统计执法监督检查办法》</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w:t>
            </w:r>
            <w:r>
              <w:rPr>
                <w:rFonts w:hint="eastAsia" w:ascii="Times New Roman" w:hAnsi="Times New Roman" w:eastAsia="方正仿宋_GBK" w:cs="Times New Roman"/>
                <w:sz w:val="21"/>
                <w:szCs w:val="21"/>
                <w:vertAlign w:val="baseline"/>
                <w:lang w:val="en-US" w:eastAsia="zh-CN"/>
              </w:rPr>
              <w:t>4</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县统计局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统计执法监督检查</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《中华人民共和国统计法实施条例》《统计执法监督检查办法》</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w:t>
            </w:r>
            <w:r>
              <w:rPr>
                <w:rFonts w:hint="eastAsia" w:ascii="Times New Roman" w:hAnsi="Times New Roman" w:eastAsia="方正仿宋_GBK" w:cs="Times New Roman"/>
                <w:sz w:val="21"/>
                <w:szCs w:val="21"/>
                <w:vertAlign w:val="baseline"/>
                <w:lang w:val="en-US" w:eastAsia="zh-CN"/>
              </w:rPr>
              <w:t>5</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县第五次全国经济普查领导小组办公室</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经济普查数据质量检查</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《中华人民共和国统计法实施条例》《全国经济普查条例》</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w:t>
            </w:r>
            <w:r>
              <w:rPr>
                <w:rFonts w:hint="eastAsia" w:ascii="Times New Roman" w:hAnsi="Times New Roman" w:eastAsia="方正仿宋_GBK" w:cs="Times New Roman"/>
                <w:sz w:val="21"/>
                <w:szCs w:val="21"/>
                <w:vertAlign w:val="baseline"/>
                <w:lang w:val="en-US" w:eastAsia="zh-CN"/>
              </w:rPr>
              <w:t>6</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凤庆县医疗保障局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药品集中采购配送管理考核</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《临沧市医疗保障局 临沧市卫生健康委员会 临沧市市场监督管理局 临沧市政务服务管理局关于进一步加强药品集中采购配送管理工作的通知》（临医保联发〔2020〕31号）、《临沧市药品集中采购配送管理考核制度（试行）》</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每年一次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87</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凤庆县医疗保障局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基本医疗保障定点医疗机构、零售药店年检考核</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《临沧市医疗保障定点医疗机构、零售药店服务协议》</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每年一次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88</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凤庆县医疗保障局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两定医疗机构日常检查</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《临沧市医疗保障定点医疗机构、零售药店服务协议》</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每年一次以上</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89</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凤庆县医疗保障局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基本医疗保障定点医疗机构、零售药店准入评估</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《医疗机构医疗保障定点管理暂行办法、零售药店医疗保障定点管理暂行办法》</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每年一次以上</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r>
              <w:rPr>
                <w:rFonts w:hint="eastAsia" w:ascii="Times New Roman" w:hAnsi="Times New Roman" w:eastAsia="方正仿宋_GBK" w:cs="Times New Roman"/>
                <w:sz w:val="21"/>
                <w:szCs w:val="21"/>
                <w:vertAlign w:val="baseline"/>
                <w:lang w:val="en-US" w:eastAsia="zh-CN"/>
              </w:rPr>
              <w:t>0</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凤庆县医疗保障局</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对定点医药机构使用医疗保障基金情况监督检查</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《中华人民共和国社会保险法》《中华人民共和国基本医疗卫生与健康促进法》《医疗保障基金使用监督管理条例》</w:t>
            </w: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r>
              <w:rPr>
                <w:rFonts w:hint="eastAsia" w:ascii="Times New Roman" w:hAnsi="Times New Roman" w:eastAsia="方正仿宋_GBK" w:cs="Times New Roman"/>
                <w:sz w:val="21"/>
                <w:szCs w:val="21"/>
                <w:vertAlign w:val="baseline"/>
                <w:lang w:val="en-US" w:eastAsia="zh-CN"/>
              </w:rPr>
              <w:t>1</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凤庆县消防救援大队</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公众聚集场所在投入使用、营业前的消防安全检查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《中华人民共和国消防法》《云南省消防条例》《云南省单位消防安全管理规定》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r>
              <w:rPr>
                <w:rFonts w:hint="eastAsia" w:ascii="Times New Roman" w:hAnsi="Times New Roman" w:eastAsia="方正仿宋_GBK" w:cs="Times New Roman"/>
                <w:sz w:val="21"/>
                <w:szCs w:val="21"/>
                <w:vertAlign w:val="baseline"/>
                <w:lang w:val="en-US" w:eastAsia="zh-CN"/>
              </w:rPr>
              <w:t>2</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凤庆县消防救援大队</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消防安全专项整治（考核、督导）</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年根据火灾形势需要和国务院安全生产委员会（办公室）、应急管理部消防救援局和省人民政府、省安全生产委员会（办公室、省消防安全委员会（办公室）以及省消防救援总队等有关行业部署的消防安全专项整治（考核、督导）工作，对有关社会单位开展消防安全排查、检查、考核验收及督导。</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r>
              <w:rPr>
                <w:rFonts w:hint="eastAsia" w:ascii="Times New Roman" w:hAnsi="Times New Roman" w:eastAsia="方正仿宋_GBK" w:cs="Times New Roman"/>
                <w:sz w:val="21"/>
                <w:szCs w:val="21"/>
                <w:vertAlign w:val="baseline"/>
                <w:lang w:val="en-US" w:eastAsia="zh-CN"/>
              </w:rPr>
              <w:t>3</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凤庆县消防救援大队</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重要节事活动消防安全安保</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根据省委、省政府关于每年春节、元宵节、国庆节等重要节日和在省内举办的重大活动安全工作要求，对涉及活动场所、社会面有关单位等开展消防安全排查、检查及督查。</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r>
              <w:rPr>
                <w:rFonts w:hint="eastAsia" w:ascii="Times New Roman" w:hAnsi="Times New Roman" w:eastAsia="方正仿宋_GBK" w:cs="Times New Roman"/>
                <w:sz w:val="21"/>
                <w:szCs w:val="21"/>
                <w:vertAlign w:val="baseline"/>
                <w:lang w:val="en-US" w:eastAsia="zh-CN"/>
              </w:rPr>
              <w:t>4</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凤庆县消防救援大队</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消防产品监督检查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《消防产品监督检查管理规定》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r>
              <w:rPr>
                <w:rFonts w:hint="eastAsia" w:ascii="Times New Roman" w:hAnsi="Times New Roman" w:eastAsia="方正仿宋_GBK" w:cs="Times New Roman"/>
                <w:sz w:val="21"/>
                <w:szCs w:val="21"/>
                <w:vertAlign w:val="baseline"/>
                <w:lang w:val="en-US" w:eastAsia="zh-CN"/>
              </w:rPr>
              <w:t>5</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凤庆县消防救援大队</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消防技术服务机构专项检查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《中华人民共和国消防法》《社会消防技术服务管理规定》《注册消防工程师管理规定》。</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r>
              <w:rPr>
                <w:rFonts w:hint="eastAsia" w:ascii="Times New Roman" w:hAnsi="Times New Roman" w:eastAsia="方正仿宋_GBK" w:cs="Times New Roman"/>
                <w:sz w:val="21"/>
                <w:szCs w:val="21"/>
                <w:vertAlign w:val="baseline"/>
                <w:lang w:val="en-US" w:eastAsia="zh-CN"/>
              </w:rPr>
              <w:t>6</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凤庆县消防救援大队</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火灾隐患举报投诉核查</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《中共中央办公厅、国务院办公厅印发＜关于深化消防执法改革的意见＞的通知（厅字〔2019〕34号》《消防救援局关于印发＜消防安全违法行为举报投诉奖励规定＞的通知》（应急消〔2019〕162号）</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97</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凤庆县文化和旅游局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对互联网上网服务场所的经营活动及管理开展检查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《互联网上网服务营业场所管理条例》《互联网文化管理暂行规定》</w:t>
            </w:r>
          </w:p>
        </w:tc>
        <w:tc>
          <w:tcPr>
            <w:tcW w:w="1590"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98</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凤庆县文化和旅游局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对娱乐场所经营活动及管理行为开展检查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《娱乐场所管理条例》《娱乐场所管理办法》</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99</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凤庆县文化和旅游局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对旅行社及分支机构经营活动及管理行为开展检查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《中华人民共和国旅游法》、《旅行社条例》及实施细则，《云南省旅游条例》《旅游安全管理办法》</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100</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凤庆县文化和旅游局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对导游人员职业行为开展检查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《中华人民共和国旅游法》《导游人员管理条例》《导游管理办法》</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101</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凤庆县文化和旅游局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对营业性演出活动开展检查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《营业性演出管理条例》</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102</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保安企业年度测评</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《保安服务管理条例》第三十六条第二款；《公安机关保安服务管理条例办法》第三十五条、第三十七条、第四十条</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eastAsia"/>
                <w:lang w:val="en-US" w:eastAsia="zh-CN"/>
              </w:rPr>
            </w:pPr>
            <w:r>
              <w:rPr>
                <w:rFonts w:hint="eastAsia"/>
                <w:lang w:val="en-US" w:eastAsia="zh-CN"/>
              </w:rPr>
              <w:t>103</w:t>
            </w:r>
          </w:p>
          <w:p>
            <w:pPr>
              <w:pStyle w:val="2"/>
              <w:rPr>
                <w:rFonts w:hint="default"/>
                <w:lang w:val="en-US" w:eastAsia="zh-CN"/>
              </w:rPr>
            </w:pP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保安从业单位相关检查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《保安服务管理条例》《保安守护押运公司管理规定》</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一月一次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104</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大型群众性活动安全检查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《中华人民共和国消防法》《大型群众性活动安全管理条例》</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105</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金融机构营业场所和金库安全防范设施安全检查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《国务院对确需保留的行政审批项目设定行政许可的决定》《金融机构营业场所和金库安全防范设施建设许可实施办法》《云南省人民政府关于简政放权取消和调整部分省级行政审批项目的决定》</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106</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对宾馆、旅店监督抽查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《中华人民共和国人民警察法》《</w:t>
            </w:r>
            <w:bookmarkStart w:id="0" w:name="_GoBack"/>
            <w:bookmarkEnd w:id="0"/>
            <w:r>
              <w:rPr>
                <w:rFonts w:hint="eastAsia" w:ascii="Times New Roman" w:hAnsi="Times New Roman" w:eastAsia="方正仿宋_GBK" w:cs="Times New Roman"/>
                <w:kern w:val="2"/>
                <w:sz w:val="21"/>
                <w:szCs w:val="21"/>
                <w:vertAlign w:val="baseline"/>
                <w:lang w:val="en-US" w:eastAsia="zh-CN" w:bidi="ar-SA"/>
              </w:rPr>
              <w:t>旅馆业治安管理办法》</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随时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107</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焰火燃放作业监督检查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《烟花爆竹安全管理条例》《公安部办公厅关于贯彻执行〈大型焰火燃放作业人员资格条件及管理〉和〈大型焰火燃放作业单位资质条件及管理〉有关事项的通知》</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108</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民用爆炸物品使用监督监督</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《民用爆炸物品安全管理条例》《民用爆炸物品储存库治安防范要求（GA837-2009）》《爆破作业单位资质条件和管理要求》（GA 990-2012）</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109</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机动车驾驶人考场管理</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《公安部交管局关于推进落实机动车登记查验和驾驶人考试集中整治工作的通知》《云南省公安厅交通警察总队关于传发云南省机动车登记查验和驾驶人考试集中整治工作的通知》</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一月一次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110</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sz w:val="21"/>
                <w:szCs w:val="21"/>
                <w:vertAlign w:val="baseline"/>
                <w:lang w:val="en-US" w:eastAsia="zh-CN"/>
              </w:rPr>
              <w:t>凤庆县公安局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易制毒化学品监督管理</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《易制毒化学品管理条例》《易制毒化学品购销和运输管理办法》</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111</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凤庆县财政局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县属国有企业经营营业业绩考核</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《凤庆县县属企业负责人经营业绩考核薪酬管理办法（试行）》</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112</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凤庆县财政局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对县属国有企业开展常态化监督</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《中华人民共和国企业国有资产法》 《企业国有资产监督管理暂行条例》</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113</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both"/>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凤庆县财政局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云南省小额贷款公司监管分类评级</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《云南省小额贷款公司管理办法》第四十四条、《云南省地方金融监督管理局关于进一步加强小额贷款公司监督管理的通知》《云南省小额贷款公司分类评级办法》</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114</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凤庆县财政局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融资担保公司分类监管评级</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《融资担保公司监督管理条例》（国务院令第683号）第二十五条、《云南省融资担保公司分类监管评级办法（试行）》</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115</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凤庆县财政局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融资担保公司监管检查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《融资担保公司监督管理条例》（国务院令第683号）第二十四条、《云南省融资担保公司监督管理实施细则》</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116</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凤庆县财政局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典当行年审</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《中国银保监会办公厅关于加强典当行监督管理的通知》</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117</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凤庆县财政局</w:t>
            </w:r>
          </w:p>
        </w:tc>
        <w:tc>
          <w:tcPr>
            <w:tcW w:w="175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典当行监管检查</w:t>
            </w:r>
          </w:p>
        </w:tc>
        <w:tc>
          <w:tcPr>
            <w:tcW w:w="3705" w:type="dxa"/>
            <w:vAlign w:val="center"/>
          </w:tcPr>
          <w:p>
            <w:pPr>
              <w:pStyle w:val="9"/>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《典当管理办法》第五十四条、《典当行业监管规定》</w:t>
            </w:r>
          </w:p>
        </w:tc>
        <w:tc>
          <w:tcPr>
            <w:tcW w:w="159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方正仿宋_GBK" w:cs="Times New Roman"/>
                <w:kern w:val="2"/>
                <w:sz w:val="21"/>
                <w:szCs w:val="21"/>
                <w:vertAlign w:val="baseline"/>
                <w:lang w:val="en-US" w:eastAsia="zh-CN" w:bidi="ar-SA"/>
              </w:rPr>
            </w:pPr>
            <w:r>
              <w:rPr>
                <w:rFonts w:hint="eastAsia" w:ascii="Times New Roman" w:hAnsi="Times New Roman" w:eastAsia="方正仿宋_GBK" w:cs="Times New Roman"/>
                <w:kern w:val="2"/>
                <w:sz w:val="21"/>
                <w:szCs w:val="21"/>
                <w:vertAlign w:val="baseline"/>
                <w:lang w:val="en-US" w:eastAsia="zh-CN" w:bidi="ar-SA"/>
              </w:rPr>
              <w:t>每年1次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ind w:firstLine="210" w:firstLineChars="100"/>
              <w:jc w:val="both"/>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118</w:t>
            </w:r>
          </w:p>
        </w:tc>
        <w:tc>
          <w:tcPr>
            <w:tcW w:w="1694"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凤庆县市场监督管理局</w:t>
            </w:r>
          </w:p>
        </w:tc>
        <w:tc>
          <w:tcPr>
            <w:tcW w:w="1755"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医疗器械经营使用单位监督检查</w:t>
            </w:r>
          </w:p>
        </w:tc>
        <w:tc>
          <w:tcPr>
            <w:tcW w:w="3705"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《医疗器械监督管理条例》</w:t>
            </w:r>
          </w:p>
        </w:tc>
        <w:tc>
          <w:tcPr>
            <w:tcW w:w="159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119</w:t>
            </w:r>
          </w:p>
        </w:tc>
        <w:tc>
          <w:tcPr>
            <w:tcW w:w="1694" w:type="dxa"/>
            <w:vAlign w:val="top"/>
          </w:tcPr>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凤庆县市场监督管理局</w:t>
            </w:r>
          </w:p>
        </w:tc>
        <w:tc>
          <w:tcPr>
            <w:tcW w:w="1755"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对食品生产、经营，企业食品安全管理人员实施监督抽考</w:t>
            </w:r>
          </w:p>
        </w:tc>
        <w:tc>
          <w:tcPr>
            <w:tcW w:w="3705"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企业落实食品安全主体责任监督管理规定》（市场监管总局令第60号）、市场监管总局关于发布《企业食品安全管理人员监督抽查考核指南》《企业食品安全管理人员监督抽查考核大纲》的公告（国家市场监管总局公告2024年第4号）</w:t>
            </w:r>
          </w:p>
        </w:tc>
        <w:tc>
          <w:tcPr>
            <w:tcW w:w="159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FF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适时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120</w:t>
            </w:r>
          </w:p>
        </w:tc>
        <w:tc>
          <w:tcPr>
            <w:tcW w:w="1694" w:type="dxa"/>
            <w:vAlign w:val="top"/>
          </w:tcPr>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p>
          <w:p>
            <w:pPr>
              <w:spacing w:line="240" w:lineRule="auto"/>
              <w:jc w:val="center"/>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凤庆县市场监督管理局</w:t>
            </w:r>
          </w:p>
        </w:tc>
        <w:tc>
          <w:tcPr>
            <w:tcW w:w="1755"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药品经营和使用单位监督检查</w:t>
            </w:r>
          </w:p>
        </w:tc>
        <w:tc>
          <w:tcPr>
            <w:tcW w:w="3705"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《中华人民共和国药品管理法》《药品经营和使用质量监督管理办法》</w:t>
            </w:r>
          </w:p>
        </w:tc>
        <w:tc>
          <w:tcPr>
            <w:tcW w:w="15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480" w:beforeAutospacing="0" w:after="0" w:afterAutospacing="0" w:line="160" w:lineRule="exact"/>
              <w:ind w:left="0" w:right="0"/>
              <w:jc w:val="center"/>
              <w:textAlignment w:val="auto"/>
              <w:rPr>
                <w:rFonts w:hint="default" w:ascii="Times New Roman" w:hAnsi="Times New Roman" w:eastAsia="方正仿宋_GBK" w:cs="Times New Roman"/>
                <w:i w:val="0"/>
                <w:iCs w:val="0"/>
                <w:caps w:val="0"/>
                <w:color w:val="222222"/>
                <w:spacing w:val="0"/>
                <w:sz w:val="13"/>
                <w:szCs w:val="13"/>
              </w:rPr>
            </w:pPr>
            <w:r>
              <w:rPr>
                <w:rFonts w:hint="default" w:ascii="Times New Roman" w:hAnsi="Times New Roman" w:eastAsia="方正仿宋_GBK" w:cs="Times New Roman"/>
                <w:i w:val="0"/>
                <w:iCs w:val="0"/>
                <w:caps w:val="0"/>
                <w:color w:val="222222"/>
                <w:spacing w:val="0"/>
                <w:kern w:val="0"/>
                <w:sz w:val="13"/>
                <w:szCs w:val="13"/>
                <w:shd w:val="clear" w:color="auto" w:fill="FFFFFF"/>
                <w:lang w:val="en-US" w:eastAsia="zh-CN" w:bidi="ar"/>
              </w:rPr>
              <w:t>（一）对麻醉药品和第一类精神药品、药品类易制毒化学品经营企业检查，每半年不少于一次；（二）对冷藏冷冻药品、血液制品、细胞治疗类生物制品、第二类精神药品、医疗用毒性药品经营企业检查，每年不少于一次；（三）对第一项、第二项以外的药品经营企业，每年确定一定比例开展药品经营质量管理规范符合性检查，三年内对本行政区域内药品经营企业全部进行检查；（四）对接收、储存疫苗的疾病预防控制机构、接种单位执行疫苗储存和运输管理规范情况进行检查，原则上每年不少于一次；（五）每年确定一定比例医疗机构，对其购进、验收、储存药品管理情况进行检查，三年内对行政区域内医疗机构全部进行检查。</w:t>
            </w:r>
          </w:p>
          <w:p>
            <w:pPr>
              <w:keepNext w:val="0"/>
              <w:keepLines w:val="0"/>
              <w:widowControl/>
              <w:suppressLineNumbers w:val="0"/>
              <w:jc w:val="center"/>
              <w:textAlignment w:val="center"/>
              <w:rPr>
                <w:rFonts w:hint="default" w:ascii="Times New Roman" w:hAnsi="Times New Roman" w:eastAsia="方正仿宋_GBK" w:cs="Times New Roman"/>
                <w:i w:val="0"/>
                <w:color w:val="FF0000"/>
                <w:kern w:val="0"/>
                <w:sz w:val="21"/>
                <w:szCs w:val="21"/>
                <w:u w:val="none"/>
                <w:lang w:val="en-US" w:eastAsia="zh-CN" w:bidi="ar"/>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lang w:val="en-US" w:eastAsia="zh-CN"/>
              </w:rPr>
            </w:pPr>
          </w:p>
        </w:tc>
      </w:tr>
    </w:tbl>
    <w:p>
      <w:pPr>
        <w:rPr>
          <w:rFonts w:hint="default"/>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1DEC"/>
    <w:rsid w:val="00570F2A"/>
    <w:rsid w:val="0091698A"/>
    <w:rsid w:val="04493DD1"/>
    <w:rsid w:val="0AB50643"/>
    <w:rsid w:val="0DD86D92"/>
    <w:rsid w:val="0DF820AA"/>
    <w:rsid w:val="0E4B3E4A"/>
    <w:rsid w:val="1CDC102D"/>
    <w:rsid w:val="1EFA2FAF"/>
    <w:rsid w:val="209706EE"/>
    <w:rsid w:val="23C07B68"/>
    <w:rsid w:val="27095C16"/>
    <w:rsid w:val="2C94067B"/>
    <w:rsid w:val="2E317461"/>
    <w:rsid w:val="31100FD8"/>
    <w:rsid w:val="314F6131"/>
    <w:rsid w:val="330338E3"/>
    <w:rsid w:val="372754A3"/>
    <w:rsid w:val="387C5AD4"/>
    <w:rsid w:val="39684ADF"/>
    <w:rsid w:val="39D55711"/>
    <w:rsid w:val="3A547AEA"/>
    <w:rsid w:val="3CC7718A"/>
    <w:rsid w:val="3F4959F8"/>
    <w:rsid w:val="446678BA"/>
    <w:rsid w:val="46D40A25"/>
    <w:rsid w:val="49644418"/>
    <w:rsid w:val="4AAA1CCB"/>
    <w:rsid w:val="4C236B42"/>
    <w:rsid w:val="4C65652A"/>
    <w:rsid w:val="565753EF"/>
    <w:rsid w:val="5E450ED6"/>
    <w:rsid w:val="63832CC4"/>
    <w:rsid w:val="69151367"/>
    <w:rsid w:val="69C3500D"/>
    <w:rsid w:val="6BAD4CEE"/>
    <w:rsid w:val="6E920FED"/>
    <w:rsid w:val="6FD912ED"/>
    <w:rsid w:val="70D6148C"/>
    <w:rsid w:val="727C342A"/>
    <w:rsid w:val="72C54D06"/>
    <w:rsid w:val="76B45125"/>
    <w:rsid w:val="7B9B1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Paragraph"/>
    <w:basedOn w:val="1"/>
    <w:qFormat/>
    <w:uiPriority w:val="1"/>
    <w:rPr>
      <w:rFonts w:ascii="宋体" w:hAnsi="宋体" w:eastAsia="宋体" w:cs="宋体"/>
    </w:r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2024-06-18T02:51:00Z</dcterms:created>
  <dc:creator>mhdn</dc:creator>
  <cp:lastModifiedBy>王立美</cp:lastModifiedBy>
  <cp:lastPrinted>2024-06-20T07:58:00Z</cp:lastPrinted>
  <dcterms:modified xsi:type="dcterms:W3CDTF">2025-06-11T00:56:05Z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0EF9A97FC65A43128ACEBB6757D51DD5</vt:lpwstr>
  </property>
</Properties>
</file>