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附件1：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凤庆县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2025年征收农用地区片综合地价更新调整成果（草案）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表1  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凤庆县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2025年征收农用地区片综合地价更新调整结果表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879"/>
        <w:gridCol w:w="1276"/>
        <w:gridCol w:w="987"/>
        <w:gridCol w:w="1084"/>
        <w:gridCol w:w="1629"/>
        <w:gridCol w:w="1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区片编号</w:t>
            </w:r>
          </w:p>
        </w:tc>
        <w:tc>
          <w:tcPr>
            <w:tcW w:w="6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区片范围描述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测算单元（行政区个数）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测算面积</w:t>
            </w:r>
          </w:p>
        </w:tc>
        <w:tc>
          <w:tcPr>
            <w:tcW w:w="4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区片综合地价（元/亩）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（公顷）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区片标准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土地补偿费（40%）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安置补助费（60%）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I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凤山镇: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龙泉社区、凤山社区、文明社区、东城社区、顺宁社区、滇红社区、水箐村、安石村、董扁村、青树村、落星村、上寨村、东山村、麦地村、后山村、红塘村、象塘村、前锋村、大有村、等上村、京竹林村、金平村、平村村、清水河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营盘镇: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营盘村、景杏村、帮拐村、秀塘村、大乃坝村、红立村；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勐佑镇: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勐佑村、习谦村、棕元村、河东村、鱼塘村、新林村、立果村、岔路村、安街村、中和村、新寨村；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洛党镇: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洛党村、白云村、鹿鸣村、岳舞村、礼乐村、和德村、厚丰村、水菜林村、永和村、桃花村、荣上村、田心村、太平寺村、鼎新村、箐头村、琼岳村、大兴村、新锋村、中村村、万锋村；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小湾镇: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锦秀村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62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69507.52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47200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18880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28320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II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鲁史镇: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鲁史村；小湾镇:小湾村、三水村；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营盘镇: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贺费村、勐统村、杨家寨村、忙干村、三塔村、忙帮村、干塘村、里拐村、安平村、田坝口村、京立安村；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勐佑镇: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白岩村、翁乐村、高山村、新田村、阿里候村、大寨子村、界牌村、立达村、立平村；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雪山镇：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兴街村、新民村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42485.58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34700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13880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III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鲁史镇: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宝华村、鲁家山村、犀牛村；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小湾镇: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蕨菜村、箐中村、正义村、温泉村、桂花村、华丰村、梅竹村、春光村、马街村；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三岔河镇: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雪华村、光华村、松花村、涌金村、康明村、水田村、明龙村、王平村、棉花林村、大龙塘村；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雪山镇: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中山村、立马村、荒田村、王家寨村、安和村、新化村、新联村、永顺村、新平村、桂林村；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诗礼乡: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诗礼村；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新华乡: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新华村、美华村；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大寺乡: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大寺村、和顺村、双龙村、回龙村、平河村、岔河村、清水村、漭街村、马庄村、德乐村、路山村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74188.47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28000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11200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IV</w:t>
            </w:r>
          </w:p>
        </w:tc>
        <w:tc>
          <w:tcPr>
            <w:tcW w:w="6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鲁史镇: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沿河村、金马村、古平村、金鸡村、凤凰村、力马柯村、永新村、河边村、团结村、永发村、羊头山村、老道箐村、新塘村；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三岔河镇: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秀衣庄村、山头田村、柏木村；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雪山镇: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新文村；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诗礼乡: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永复村、孔兴村、清华村、古墨村、牌坊村、三合村、河平村、乐平村、永乐村、朝阳村、武伟村、安义村、禄丰村；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新华乡: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白腊村、西密村、瓦屋村、沙帽村、凤云村、水源村、砚田村、紫微村、文平村；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腰街乡: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腰街村、函关村、民安村、复兴村、星源村、开明村；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郭大寨乡: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大立色村、琼英村、卡思村、松林村、平掌村、邦贵村、文德村、团山村、干马村、罗家寨村、郭大寨村；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小湾水电站: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小湾水电站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91395.66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24000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9600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合计/平均综合地价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277577.23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32516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13006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9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备注：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1、合计/平均综合地价栏中，测算单元和测算面积填写合计值，区片综合地价采用测算面积加权平均值；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2、测算面积指集体农用地面积；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3、本次区片价更新调整全域覆盖，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对于未纳入测算的</w:t>
            </w:r>
            <w:r>
              <w:rPr>
                <w:rFonts w:hint="default" w:ascii="Times New Roman" w:hAnsi="Times New Roman" w:eastAsia="仿宋_GB2312" w:cs="Times New Roman"/>
              </w:rPr>
              <w:t>区域（如国有农场、林场、中心城区及飞地等）按照相邻就高进行归并。</w:t>
            </w:r>
          </w:p>
        </w:tc>
      </w:tr>
    </w:tbl>
    <w:p>
      <w:pPr>
        <w:pStyle w:val="4"/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kinsoku w:val="0"/>
        <w:overflowPunct w:val="0"/>
        <w:spacing w:before="0" w:line="360" w:lineRule="auto"/>
        <w:ind w:left="0"/>
        <w:jc w:val="center"/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  <w:t xml:space="preserve">表2  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凤庆县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2025年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  <w:t>征收农用地区片综合地价更新调整地类调节系数表</w:t>
      </w:r>
    </w:p>
    <w:p>
      <w:pPr>
        <w:pStyle w:val="3"/>
        <w:kinsoku w:val="0"/>
        <w:overflowPunct w:val="0"/>
        <w:autoSpaceDE w:val="0"/>
        <w:autoSpaceDN w:val="0"/>
        <w:adjustRightInd w:val="0"/>
        <w:spacing w:before="0" w:line="560" w:lineRule="exact"/>
        <w:ind w:left="0" w:firstLine="456" w:firstLineChars="200"/>
        <w:jc w:val="right"/>
        <w:rPr>
          <w:rFonts w:hint="default" w:ascii="Times New Roman" w:hAnsi="Times New Roman" w:cs="Times New Roman"/>
          <w:w w:val="95"/>
          <w:kern w:val="0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/>
          <w:w w:val="95"/>
          <w:kern w:val="0"/>
          <w:sz w:val="24"/>
          <w:szCs w:val="22"/>
          <w:lang w:val="en-US" w:eastAsia="zh-CN"/>
        </w:rPr>
        <w:t>单位：元/亩</w:t>
      </w:r>
    </w:p>
    <w:tbl>
      <w:tblPr>
        <w:tblStyle w:val="5"/>
        <w:tblW w:w="14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64"/>
        <w:gridCol w:w="1218"/>
        <w:gridCol w:w="1218"/>
        <w:gridCol w:w="1224"/>
        <w:gridCol w:w="1218"/>
        <w:gridCol w:w="1218"/>
        <w:gridCol w:w="1218"/>
        <w:gridCol w:w="1369"/>
        <w:gridCol w:w="1143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区片编号</w:t>
            </w: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2540</wp:posOffset>
                  </wp:positionV>
                  <wp:extent cx="903605" cy="887730"/>
                  <wp:effectExtent l="0" t="0" r="10795" b="7620"/>
                  <wp:wrapNone/>
                  <wp:docPr id="37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直接连接符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2540</wp:posOffset>
                  </wp:positionV>
                  <wp:extent cx="1236345" cy="361950"/>
                  <wp:effectExtent l="0" t="0" r="1905" b="0"/>
                  <wp:wrapNone/>
                  <wp:docPr id="38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直接连接符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地类名称</w:t>
            </w:r>
            <w:r>
              <w:br w:type="textWrapping"/>
            </w:r>
            <w:r>
              <w:br w:type="textWrapping"/>
            </w:r>
            <w:r>
              <w:t xml:space="preserve">区片综    调节     </w:t>
            </w:r>
            <w:r>
              <w:br w:type="textWrapping"/>
            </w:r>
            <w:r>
              <w:t>合地价    系数</w:t>
            </w:r>
          </w:p>
        </w:tc>
        <w:tc>
          <w:tcPr>
            <w:tcW w:w="86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农用地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集体建设用地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未利用地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耕地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园地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林地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草地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其他农用地</w:t>
            </w: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水田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水浇地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  <w:r>
              <w:t>旱地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43375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</w:pPr>
            <w:r>
              <w:t>备注：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</w:pPr>
            <w:r>
              <w:rPr>
                <w:rFonts w:hint="eastAsia"/>
                <w:lang w:val="en-US" w:eastAsia="zh-CN"/>
              </w:rPr>
              <w:t>1.</w:t>
            </w:r>
            <w:r>
              <w:t>土地补偿费比例为40%，安置补助费比例为60%。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2.其他农用地不设调节系数，参照周边地类进行补偿。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kinsoku w:val="0"/>
        <w:overflowPunct w:val="0"/>
        <w:autoSpaceDE w:val="0"/>
        <w:autoSpaceDN w:val="0"/>
        <w:adjustRightInd w:val="0"/>
        <w:spacing w:before="0" w:line="360" w:lineRule="auto"/>
        <w:ind w:left="0"/>
        <w:jc w:val="center"/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  <w:t xml:space="preserve">表3  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凤庆县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  <w:t>征收农用地区片综合地价更新调整前后对比表</w:t>
      </w:r>
    </w:p>
    <w:p>
      <w:pPr>
        <w:pStyle w:val="3"/>
        <w:kinsoku w:val="0"/>
        <w:wordWrap w:val="0"/>
        <w:overflowPunct w:val="0"/>
        <w:autoSpaceDE w:val="0"/>
        <w:autoSpaceDN w:val="0"/>
        <w:adjustRightInd w:val="0"/>
        <w:spacing w:before="0" w:line="560" w:lineRule="exact"/>
        <w:ind w:left="0" w:firstLine="456" w:firstLineChars="200"/>
        <w:jc w:val="right"/>
        <w:rPr>
          <w:rFonts w:hint="default" w:ascii="Times New Roman" w:hAnsi="Times New Roman" w:cs="Times New Roman"/>
          <w:w w:val="95"/>
          <w:kern w:val="0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/>
          <w:w w:val="95"/>
          <w:kern w:val="0"/>
          <w:sz w:val="24"/>
          <w:szCs w:val="22"/>
          <w:lang w:val="en-US" w:eastAsia="zh-CN"/>
        </w:rPr>
        <w:t>单位：公顷、元/亩</w:t>
      </w:r>
      <w:r>
        <w:rPr>
          <w:rFonts w:hint="eastAsia" w:ascii="Times New Roman" w:hAnsi="Times New Roman" w:cs="Times New Roman"/>
          <w:w w:val="95"/>
          <w:kern w:val="0"/>
          <w:sz w:val="24"/>
          <w:szCs w:val="22"/>
          <w:lang w:val="en-US" w:eastAsia="zh-CN"/>
        </w:rPr>
        <w:t xml:space="preserve">    </w:t>
      </w:r>
    </w:p>
    <w:tbl>
      <w:tblPr>
        <w:tblStyle w:val="5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1823"/>
        <w:gridCol w:w="2359"/>
        <w:gridCol w:w="1678"/>
        <w:gridCol w:w="1837"/>
        <w:gridCol w:w="2076"/>
        <w:gridCol w:w="1452"/>
        <w:gridCol w:w="3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97" w:hRule="atLeast"/>
          <w:jc w:val="center"/>
        </w:trPr>
        <w:tc>
          <w:tcPr>
            <w:tcW w:w="5860" w:type="dxa"/>
            <w:gridSpan w:val="3"/>
            <w:shd w:val="clear" w:color="auto" w:fill="auto"/>
            <w:vAlign w:val="center"/>
          </w:tcPr>
          <w:p>
            <w:pPr>
              <w:pStyle w:val="17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b/>
                <w:bCs/>
              </w:rPr>
              <w:t>年区片综合地价</w:t>
            </w:r>
          </w:p>
        </w:tc>
        <w:tc>
          <w:tcPr>
            <w:tcW w:w="5365" w:type="dxa"/>
            <w:gridSpan w:val="3"/>
            <w:shd w:val="clear" w:color="auto" w:fill="auto"/>
            <w:vAlign w:val="center"/>
          </w:tcPr>
          <w:p>
            <w:pPr>
              <w:pStyle w:val="17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b/>
                <w:bCs/>
              </w:rPr>
              <w:t>年区片综合地价</w:t>
            </w:r>
          </w:p>
        </w:tc>
        <w:tc>
          <w:tcPr>
            <w:tcW w:w="3467" w:type="dxa"/>
            <w:vMerge w:val="restart"/>
            <w:shd w:val="clear" w:color="auto" w:fill="auto"/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变化幅度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97" w:hRule="atLeast"/>
          <w:jc w:val="center"/>
        </w:trPr>
        <w:tc>
          <w:tcPr>
            <w:tcW w:w="1823" w:type="dxa"/>
            <w:shd w:val="clear" w:color="auto" w:fill="auto"/>
            <w:vAlign w:val="center"/>
          </w:tcPr>
          <w:p>
            <w:pPr>
              <w:pStyle w:val="17"/>
            </w:pPr>
            <w:r>
              <w:t>区片编号</w:t>
            </w:r>
          </w:p>
        </w:tc>
        <w:tc>
          <w:tcPr>
            <w:tcW w:w="2359" w:type="dxa"/>
            <w:shd w:val="clear" w:color="auto" w:fill="auto"/>
            <w:vAlign w:val="center"/>
          </w:tcPr>
          <w:p>
            <w:pPr>
              <w:pStyle w:val="17"/>
            </w:pPr>
            <w:r>
              <w:t>区片土地面积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pStyle w:val="17"/>
            </w:pPr>
            <w:r>
              <w:t>区片综合地价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17"/>
            </w:pPr>
            <w:r>
              <w:t>区片编号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17"/>
            </w:pPr>
            <w:r>
              <w:t>区片土地面积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17"/>
            </w:pPr>
            <w:r>
              <w:t>区片综合地价</w:t>
            </w:r>
          </w:p>
        </w:tc>
        <w:tc>
          <w:tcPr>
            <w:tcW w:w="3467" w:type="dxa"/>
            <w:vMerge w:val="continue"/>
            <w:shd w:val="clear" w:color="auto" w:fill="auto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97" w:hRule="atLeast"/>
          <w:jc w:val="center"/>
        </w:trPr>
        <w:tc>
          <w:tcPr>
            <w:tcW w:w="1823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I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49146.9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44400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I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69507.52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47200</w:t>
            </w:r>
          </w:p>
        </w:tc>
        <w:tc>
          <w:tcPr>
            <w:tcW w:w="3467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6.31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97" w:hRule="atLeast"/>
          <w:jc w:val="center"/>
        </w:trPr>
        <w:tc>
          <w:tcPr>
            <w:tcW w:w="1823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II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59509.6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31900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II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42485.58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34700</w:t>
            </w:r>
          </w:p>
        </w:tc>
        <w:tc>
          <w:tcPr>
            <w:tcW w:w="3467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8.78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97" w:hRule="atLeast"/>
          <w:jc w:val="center"/>
        </w:trPr>
        <w:tc>
          <w:tcPr>
            <w:tcW w:w="1823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III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77646.19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25200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III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74188.47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28000</w:t>
            </w:r>
          </w:p>
        </w:tc>
        <w:tc>
          <w:tcPr>
            <w:tcW w:w="3467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11.11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97" w:hRule="atLeast"/>
          <w:jc w:val="center"/>
        </w:trPr>
        <w:tc>
          <w:tcPr>
            <w:tcW w:w="1823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IV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91368.98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21200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IV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91395.66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24000</w:t>
            </w:r>
          </w:p>
        </w:tc>
        <w:tc>
          <w:tcPr>
            <w:tcW w:w="3467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13.21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97" w:hRule="atLeast"/>
          <w:jc w:val="center"/>
        </w:trPr>
        <w:tc>
          <w:tcPr>
            <w:tcW w:w="1823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ascii="Times New Roman" w:hAnsi="Times New Roman" w:cs="Times New Roman"/>
                <w:lang w:val="en-US" w:eastAsia="zh-CN"/>
              </w:rPr>
              <w:t>合计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lang w:val="en-US" w:eastAsia="zh-CN"/>
              </w:rPr>
              <w:t>平均综合地价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277671.67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28718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ascii="Times New Roman" w:hAnsi="Times New Roman" w:cs="Times New Roman"/>
                <w:lang w:val="en-US" w:eastAsia="zh-CN"/>
              </w:rPr>
              <w:t>合计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lang w:val="en-US" w:eastAsia="zh-CN"/>
              </w:rPr>
              <w:t>平均综合地价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277577.23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32516</w:t>
            </w:r>
          </w:p>
        </w:tc>
        <w:tc>
          <w:tcPr>
            <w:tcW w:w="3467" w:type="dxa"/>
            <w:shd w:val="clear" w:color="auto" w:fill="auto"/>
            <w:vAlign w:val="center"/>
          </w:tcPr>
          <w:p>
            <w:pPr>
              <w:pStyle w:val="17"/>
              <w:ind w:firstLine="0" w:firstLineChars="0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13.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397" w:hRule="atLeast"/>
          <w:jc w:val="center"/>
        </w:trPr>
        <w:tc>
          <w:tcPr>
            <w:tcW w:w="14692" w:type="dxa"/>
            <w:gridSpan w:val="7"/>
            <w:shd w:val="clear" w:color="auto" w:fill="auto"/>
            <w:vAlign w:val="center"/>
          </w:tcPr>
          <w:p>
            <w:pPr>
              <w:pStyle w:val="17"/>
              <w:jc w:val="left"/>
            </w:pPr>
            <w:r>
              <w:t>填表说明：</w:t>
            </w:r>
            <w:r>
              <w:br w:type="textWrapping"/>
            </w:r>
            <w:r>
              <w:t>1.区片土地面积指集体农用地面积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  <w:r>
              <w:br w:type="textWrapping"/>
            </w:r>
            <w:r>
              <w:t>2.变化幅度=（202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年区片综合地价－202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年区片综合地价）/202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年区片综合地价×100%。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drawing>
          <wp:inline distT="0" distB="0" distL="114300" distR="114300">
            <wp:extent cx="6642100" cy="9386570"/>
            <wp:effectExtent l="0" t="0" r="6350" b="5080"/>
            <wp:docPr id="1" name="图片 1" descr="凤庆县征收农用地区片综合地价更新调整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凤庆县征收农用地区片综合地价更新调整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1584"/>
    <w:rsid w:val="050E5D99"/>
    <w:rsid w:val="07877B9F"/>
    <w:rsid w:val="0B0302C7"/>
    <w:rsid w:val="0D8E34B3"/>
    <w:rsid w:val="0E1C4119"/>
    <w:rsid w:val="11AE50AD"/>
    <w:rsid w:val="1517437D"/>
    <w:rsid w:val="179B32B8"/>
    <w:rsid w:val="1C4C1A4F"/>
    <w:rsid w:val="1F9C2523"/>
    <w:rsid w:val="21A13B1D"/>
    <w:rsid w:val="23211EB0"/>
    <w:rsid w:val="28E36B6A"/>
    <w:rsid w:val="2F126439"/>
    <w:rsid w:val="2FC41028"/>
    <w:rsid w:val="34641C6A"/>
    <w:rsid w:val="346D2D84"/>
    <w:rsid w:val="3A717A42"/>
    <w:rsid w:val="3C634ED8"/>
    <w:rsid w:val="3E41151E"/>
    <w:rsid w:val="41362456"/>
    <w:rsid w:val="42FD1998"/>
    <w:rsid w:val="43712F99"/>
    <w:rsid w:val="4A2B7F1C"/>
    <w:rsid w:val="4C3130A5"/>
    <w:rsid w:val="4E3F4E1B"/>
    <w:rsid w:val="50B74C36"/>
    <w:rsid w:val="51322CE6"/>
    <w:rsid w:val="513E365C"/>
    <w:rsid w:val="51E93249"/>
    <w:rsid w:val="521D7E79"/>
    <w:rsid w:val="52C13D0A"/>
    <w:rsid w:val="564678B2"/>
    <w:rsid w:val="57C77A03"/>
    <w:rsid w:val="5CAC7D5B"/>
    <w:rsid w:val="5EEE4304"/>
    <w:rsid w:val="61495A23"/>
    <w:rsid w:val="695809F7"/>
    <w:rsid w:val="6D361087"/>
    <w:rsid w:val="76783F09"/>
    <w:rsid w:val="769813A7"/>
    <w:rsid w:val="7A9140BD"/>
    <w:rsid w:val="7B6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宋体"/>
      <w:b/>
      <w:bCs/>
      <w:kern w:val="10"/>
    </w:rPr>
  </w:style>
  <w:style w:type="paragraph" w:styleId="3">
    <w:name w:val="Body Text"/>
    <w:basedOn w:val="1"/>
    <w:next w:val="4"/>
    <w:unhideWhenUsed/>
    <w:qFormat/>
    <w:uiPriority w:val="1"/>
    <w:pPr>
      <w:spacing w:before="181"/>
      <w:ind w:left="107"/>
    </w:pPr>
    <w:rPr>
      <w:rFonts w:hint="eastAsia" w:ascii="仿宋_GB2312" w:hAnsi="仿宋_GB2312" w:eastAsia="仿宋_GB2312"/>
      <w:sz w:val="28"/>
    </w:rPr>
  </w:style>
  <w:style w:type="paragraph" w:styleId="4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0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7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7">
    <w:name w:val="表格"/>
    <w:basedOn w:val="18"/>
    <w:qFormat/>
    <w:uiPriority w:val="0"/>
    <w:pPr>
      <w:widowControl/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18">
    <w:name w:val="正文 Char Char"/>
    <w:basedOn w:val="1"/>
    <w:qFormat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ascii="Times New Roman" w:hAnsi="Times New Roman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1134</Words>
  <Characters>1519</Characters>
  <Lines>0</Lines>
  <Paragraphs>0</Paragraphs>
  <TotalTime>3</TotalTime>
  <ScaleCrop>false</ScaleCrop>
  <LinksUpToDate>false</LinksUpToDate>
  <CharactersWithSpaces>1547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dcterms:created xsi:type="dcterms:W3CDTF">2025-06-12T00:49:00Z</dcterms:created>
  <dcterms:modified xsi:type="dcterms:W3CDTF">2025-07-25T06:49:29Z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TemplateDocerSaveRecord">
    <vt:lpwstr>eyJoZGlkIjoiYWM2YzZhYmM2MzVmMDI4YjdhYWNjYTAwOTUxNmIzNjQiLCJ1c2VySWQiOiI0NTA4NTU2MDAifQ==</vt:lpwstr>
  </property>
  <property fmtid="{D5CDD505-2E9C-101B-9397-08002B2CF9AE}" pid="4" name="ICV">
    <vt:lpwstr>1558B9A3328B4932998B9770021CF41E_13</vt:lpwstr>
  </property>
</Properties>
</file>